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55A8" w14:textId="77777777" w:rsidR="0027107C" w:rsidRPr="000E33BF" w:rsidRDefault="0027107C" w:rsidP="00900C3E">
      <w:pPr>
        <w:pStyle w:val="Titre1"/>
        <w:rPr>
          <w:rFonts w:eastAsia="Times New Roman" w:cs="Times New Roman"/>
          <w:smallCaps/>
          <w:lang w:eastAsia="fr-FR"/>
        </w:rPr>
      </w:pPr>
      <w:r w:rsidRPr="000E33BF">
        <w:rPr>
          <w:rFonts w:eastAsia="Times New Roman" w:cs="Times New Roman"/>
          <w:smallCaps/>
          <w:lang w:eastAsia="fr-FR"/>
        </w:rPr>
        <w:t>Dans quelle mesure les pratiques de qualité de vie au travail développent-elles le bien-être au travail ? Une analyse de la situation de cent organisations publiques</w:t>
      </w:r>
    </w:p>
    <w:p w14:paraId="3F77EE2A" w14:textId="77777777" w:rsidR="0027107C" w:rsidRDefault="0027107C" w:rsidP="00DC1997">
      <w:pPr>
        <w:spacing w:before="120"/>
        <w:rPr>
          <w:rFonts w:ascii="Times New Roman" w:eastAsia="Times New Roman" w:hAnsi="Times New Roman" w:cs="Times New Roman"/>
          <w:b/>
          <w:bCs/>
          <w:color w:val="000000"/>
          <w:lang w:eastAsia="fr-FR"/>
        </w:rPr>
      </w:pPr>
      <w:r w:rsidRPr="000E33BF">
        <w:rPr>
          <w:rFonts w:ascii="Times New Roman" w:eastAsia="Times New Roman" w:hAnsi="Times New Roman" w:cs="Times New Roman"/>
          <w:b/>
          <w:bCs/>
          <w:color w:val="000000"/>
          <w:lang w:eastAsia="fr-FR"/>
        </w:rPr>
        <w:t xml:space="preserve"> </w:t>
      </w:r>
    </w:p>
    <w:p w14:paraId="4023B954" w14:textId="6149A4CD" w:rsidR="002700D2" w:rsidRPr="002700D2" w:rsidRDefault="002700D2" w:rsidP="00DC1997">
      <w:pPr>
        <w:spacing w:before="120"/>
        <w:rPr>
          <w:rFonts w:ascii="Times New Roman" w:hAnsi="Times New Roman" w:cs="Times New Roman"/>
        </w:rPr>
      </w:pPr>
      <w:r>
        <w:rPr>
          <w:rFonts w:ascii="Times New Roman" w:hAnsi="Times New Roman" w:cs="Times New Roman"/>
        </w:rPr>
        <w:t>Emmanuel Abord de Chatillon (Chaire Management et Santé au Travail, CERAG, INP Université Grenoble Alpes et LEST, CNRS, Aix Marseille Université), Damien Richard (Chaire Management et Santé au Travail, INSEEC) et Maryline Rossano (Chaire Management et Santé au Travail, CERAG, INP Université Grenoble Alpes).</w:t>
      </w:r>
    </w:p>
    <w:p w14:paraId="76F89CD1" w14:textId="77777777" w:rsidR="0027107C" w:rsidRPr="007639B9" w:rsidRDefault="0027107C" w:rsidP="00DC1997">
      <w:pPr>
        <w:spacing w:before="120"/>
        <w:rPr>
          <w:rFonts w:ascii="Times New Roman" w:eastAsia="Times New Roman" w:hAnsi="Times New Roman" w:cs="Times New Roman"/>
          <w:sz w:val="28"/>
          <w:szCs w:val="28"/>
          <w:lang w:eastAsia="fr-FR"/>
        </w:rPr>
      </w:pPr>
      <w:r w:rsidRPr="007639B9">
        <w:rPr>
          <w:rFonts w:ascii="Times New Roman" w:eastAsia="Times New Roman" w:hAnsi="Times New Roman" w:cs="Times New Roman"/>
          <w:b/>
          <w:bCs/>
          <w:color w:val="000000"/>
          <w:sz w:val="28"/>
          <w:szCs w:val="28"/>
          <w:lang w:eastAsia="fr-FR"/>
        </w:rPr>
        <w:t>Résumé</w:t>
      </w:r>
    </w:p>
    <w:p w14:paraId="3AA4FCC8" w14:textId="6093E79D" w:rsidR="0027107C" w:rsidRPr="000E33BF" w:rsidRDefault="0027107C" w:rsidP="00DC1997">
      <w:pPr>
        <w:spacing w:before="12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Le bien-être au travail et la Qualité de Vie au Travail représentent des enjeux de plus en plus centraux pour la GRH. Ces notions font également l’objet d’une préoccupation croissante pour la communauté académique (Bachelard, 2017 ; Shen, Benson &amp; Huang, 2014 ; Wright &amp; Cropanzano, 2004 ; Yadav &amp; Khanna, 2014). Et </w:t>
      </w:r>
      <w:r w:rsidR="00162678" w:rsidRPr="000E33BF">
        <w:rPr>
          <w:rFonts w:ascii="Times New Roman" w:eastAsia="Times New Roman" w:hAnsi="Times New Roman" w:cs="Times New Roman"/>
          <w:color w:val="000000"/>
          <w:lang w:eastAsia="fr-FR"/>
        </w:rPr>
        <w:t xml:space="preserve">dans le </w:t>
      </w:r>
      <w:r w:rsidRPr="000E33BF">
        <w:rPr>
          <w:rFonts w:ascii="Times New Roman" w:eastAsia="Times New Roman" w:hAnsi="Times New Roman" w:cs="Times New Roman"/>
          <w:color w:val="000000"/>
          <w:lang w:eastAsia="fr-FR"/>
        </w:rPr>
        <w:t xml:space="preserve">même temps, on constate une absence de consensus, voire même un flou conceptuel au niveau des définitions et des périmètres théoriques de ces objets. Surtout, il émerge de l’état de l’art, </w:t>
      </w:r>
      <w:r w:rsidR="00162678" w:rsidRPr="000E33BF">
        <w:rPr>
          <w:rFonts w:ascii="Times New Roman" w:eastAsia="Times New Roman" w:hAnsi="Times New Roman" w:cs="Times New Roman"/>
          <w:color w:val="000000"/>
          <w:lang w:eastAsia="fr-FR"/>
        </w:rPr>
        <w:t>une grande variété</w:t>
      </w:r>
      <w:r w:rsidR="004B1ECD">
        <w:rPr>
          <w:rFonts w:ascii="Times New Roman" w:eastAsia="Times New Roman" w:hAnsi="Times New Roman" w:cs="Times New Roman"/>
          <w:color w:val="000000"/>
          <w:lang w:eastAsia="fr-FR"/>
        </w:rPr>
        <w:t xml:space="preserve"> </w:t>
      </w:r>
      <w:r w:rsidR="00162678" w:rsidRPr="000E33BF">
        <w:rPr>
          <w:rFonts w:ascii="Times New Roman" w:eastAsia="Times New Roman" w:hAnsi="Times New Roman" w:cs="Times New Roman"/>
          <w:color w:val="000000"/>
          <w:lang w:eastAsia="fr-FR"/>
        </w:rPr>
        <w:t>des contenus associés aux</w:t>
      </w:r>
      <w:r w:rsidRPr="000E33BF">
        <w:rPr>
          <w:rFonts w:ascii="Times New Roman" w:eastAsia="Times New Roman" w:hAnsi="Times New Roman" w:cs="Times New Roman"/>
          <w:color w:val="000000"/>
          <w:lang w:eastAsia="fr-FR"/>
        </w:rPr>
        <w:t xml:space="preserve"> pratiques de QVT. L’objet de cet article est d’apporter une contribution à la fois théorique et pratique quant à la clarification des concepts, à leur articulation et à leur déclinaison en pratiques. Cette recherche repose sur une vaste enquête mené</w:t>
      </w:r>
      <w:r w:rsidR="0019229B" w:rsidRPr="000E33BF">
        <w:rPr>
          <w:rFonts w:ascii="Times New Roman" w:eastAsia="Times New Roman" w:hAnsi="Times New Roman" w:cs="Times New Roman"/>
          <w:color w:val="000000"/>
          <w:lang w:eastAsia="fr-FR"/>
        </w:rPr>
        <w:t>e</w:t>
      </w:r>
      <w:r w:rsidRPr="000E33BF">
        <w:rPr>
          <w:rFonts w:ascii="Times New Roman" w:eastAsia="Times New Roman" w:hAnsi="Times New Roman" w:cs="Times New Roman"/>
          <w:color w:val="000000"/>
          <w:lang w:eastAsia="fr-FR"/>
        </w:rPr>
        <w:t xml:space="preserve"> auprès de 100 organisations publiques de même nature exerçant dans l’univers social portant sur les pratiques de QVT et leurs impacts. Les résultats 1) proposent un inventaire des pratiques de QVT; 2) mettent en lumière l</w:t>
      </w:r>
      <w:r w:rsidR="00162678" w:rsidRPr="000E33BF">
        <w:rPr>
          <w:rFonts w:ascii="Times New Roman" w:eastAsia="Times New Roman" w:hAnsi="Times New Roman" w:cs="Times New Roman"/>
          <w:color w:val="000000"/>
          <w:lang w:eastAsia="fr-FR"/>
        </w:rPr>
        <w:t>es conditions d’émergence de ces pratiques et leur impact sur l’absentéisme et le climat social</w:t>
      </w:r>
      <w:r w:rsidRPr="000E33BF">
        <w:rPr>
          <w:rFonts w:ascii="Times New Roman" w:eastAsia="Times New Roman" w:hAnsi="Times New Roman" w:cs="Times New Roman"/>
          <w:color w:val="000000"/>
          <w:lang w:eastAsia="fr-FR"/>
        </w:rPr>
        <w:t>; et 3) montre les limites d’une approche du bien-être par les outils.</w:t>
      </w:r>
    </w:p>
    <w:p w14:paraId="66824C10" w14:textId="77777777" w:rsidR="0014635B" w:rsidRPr="000E33BF" w:rsidRDefault="0014635B" w:rsidP="00DC1997">
      <w:pPr>
        <w:spacing w:before="120"/>
        <w:jc w:val="both"/>
        <w:rPr>
          <w:rFonts w:ascii="Times New Roman" w:eastAsia="Times New Roman" w:hAnsi="Times New Roman" w:cs="Times New Roman"/>
          <w:b/>
          <w:color w:val="000000"/>
          <w:lang w:eastAsia="fr-FR"/>
        </w:rPr>
      </w:pPr>
      <w:r w:rsidRPr="000E33BF">
        <w:rPr>
          <w:rFonts w:ascii="Times New Roman" w:eastAsia="Times New Roman" w:hAnsi="Times New Roman" w:cs="Times New Roman"/>
          <w:b/>
          <w:color w:val="000000"/>
          <w:lang w:eastAsia="fr-FR"/>
        </w:rPr>
        <w:t>Mots clés</w:t>
      </w:r>
    </w:p>
    <w:p w14:paraId="2FACDFA0" w14:textId="1271803F" w:rsidR="0014635B" w:rsidRPr="000E33BF" w:rsidRDefault="0014635B" w:rsidP="00DC1997">
      <w:pPr>
        <w:spacing w:before="120"/>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Qualité de vie au travail ; pratiques de gestion ; management public</w:t>
      </w:r>
      <w:r w:rsidR="00162678" w:rsidRPr="000E33BF">
        <w:rPr>
          <w:rFonts w:ascii="Times New Roman" w:eastAsia="Times New Roman" w:hAnsi="Times New Roman" w:cs="Times New Roman"/>
          <w:color w:val="000000"/>
          <w:lang w:eastAsia="fr-FR"/>
        </w:rPr>
        <w:t> ; bien-être au travail ; absentéisme.</w:t>
      </w:r>
    </w:p>
    <w:p w14:paraId="160BC07D" w14:textId="77777777" w:rsidR="0027107C" w:rsidRPr="000E33BF" w:rsidRDefault="0027107C" w:rsidP="00DC1997">
      <w:pPr>
        <w:spacing w:before="120"/>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br w:type="page"/>
      </w:r>
    </w:p>
    <w:p w14:paraId="5BE43A33" w14:textId="77777777" w:rsidR="0027107C" w:rsidRPr="000E33BF" w:rsidRDefault="0027107C" w:rsidP="00900C3E">
      <w:pPr>
        <w:pStyle w:val="Titre1"/>
        <w:rPr>
          <w:rFonts w:cs="Times New Roman"/>
          <w:smallCaps/>
        </w:rPr>
      </w:pPr>
      <w:r w:rsidRPr="000E33BF">
        <w:rPr>
          <w:rFonts w:cs="Times New Roman"/>
          <w:smallCaps/>
        </w:rPr>
        <w:lastRenderedPageBreak/>
        <w:t>Dans quelle mesure les pratiques de qualité de vie au travail développent-elles le bien-être au travail ? Une analyse de la situation de cent organisations publiques</w:t>
      </w:r>
    </w:p>
    <w:p w14:paraId="44B7AD8A" w14:textId="77777777" w:rsidR="00B91402" w:rsidRPr="000E33BF" w:rsidRDefault="00B91402" w:rsidP="001C7670">
      <w:pPr>
        <w:pStyle w:val="Paragraphedeliste"/>
      </w:pPr>
    </w:p>
    <w:p w14:paraId="733AF3BD" w14:textId="399CFF77" w:rsidR="0027107C" w:rsidRPr="000E33BF" w:rsidRDefault="0027107C" w:rsidP="00B91402">
      <w:pPr>
        <w:pStyle w:val="Paragraphedeliste"/>
        <w:spacing w:line="276" w:lineRule="auto"/>
      </w:pPr>
      <w:r w:rsidRPr="000E33BF">
        <w:t xml:space="preserve">En France, la qualité de vie au travail (QVT) est située par les praticiens depuis quelques années </w:t>
      </w:r>
      <w:r w:rsidR="00862A46" w:rsidRPr="000E33BF">
        <w:t>au centre</w:t>
      </w:r>
      <w:r w:rsidRPr="000E33BF">
        <w:t xml:space="preserve"> de démarches qui concourent simultanément à l’épanouissement des personnes et à la compétitivi</w:t>
      </w:r>
      <w:r w:rsidR="00F5548D">
        <w:t>té des entreprises (ANACT, 2015 ;</w:t>
      </w:r>
      <w:r w:rsidRPr="000E33BF">
        <w:t xml:space="preserve"> </w:t>
      </w:r>
      <w:r w:rsidR="00F5548D">
        <w:t>Bourdu, Péretié, &amp; Richer, 2016 ;</w:t>
      </w:r>
      <w:r w:rsidRPr="000E33BF">
        <w:t xml:space="preserve"> Lachmann, Larose, &amp; Penicaud, 2010). Le bien-être au </w:t>
      </w:r>
      <w:r w:rsidR="00862A46" w:rsidRPr="000E33BF">
        <w:t xml:space="preserve">travail et la QVT </w:t>
      </w:r>
      <w:r w:rsidRPr="000E33BF">
        <w:t>représentent ainsi des enjeux de plus en plus centraux pour la GRH et font également l’objet d’une préoccupation croissante pour la communauté académique (Bachelard, 2017 ; Shen, Benson &amp; Huang, 2014 ; Wright &amp; Cropanzano, 2004 ; Yadav &amp; Khanna, 2014). Paradoxalement, ces deux notions sont pourtant encore l’objet de confusion et de controverse tant sur le plan théorique dans le m</w:t>
      </w:r>
      <w:r w:rsidR="00862A46" w:rsidRPr="000E33BF">
        <w:t>onde académique (Feuvrier, 2014 ; Illouz &amp; Cabanas, 2018 ;</w:t>
      </w:r>
      <w:r w:rsidRPr="000E33BF">
        <w:t xml:space="preserve"> Thévenet, 2008) que sur le plan des pratiques dans le monde profe</w:t>
      </w:r>
      <w:r w:rsidR="00862A46" w:rsidRPr="000E33BF">
        <w:t>ssionnel (Conjard, 2015 ; Hsieh, 2011 ;</w:t>
      </w:r>
      <w:r w:rsidRPr="000E33BF">
        <w:t xml:space="preserve"> Lecomte, 2016). On constate en effet une absence de consensus</w:t>
      </w:r>
      <w:r w:rsidR="000E33BF" w:rsidRPr="000E33BF">
        <w:t xml:space="preserve"> conceptuel que ce soit </w:t>
      </w:r>
      <w:r w:rsidRPr="000E33BF">
        <w:t xml:space="preserve"> au niveau des définitions </w:t>
      </w:r>
      <w:r w:rsidR="000E33BF" w:rsidRPr="000E33BF">
        <w:t>ou à celui</w:t>
      </w:r>
      <w:r w:rsidRPr="000E33BF">
        <w:t xml:space="preserve"> des périmètres théoriques de ces objets.</w:t>
      </w:r>
      <w:r w:rsidR="000E33BF" w:rsidRPr="000E33BF">
        <w:t xml:space="preserve"> De plus, ce flou se retrouve d’une manière exacerbée lorsque l’on s’intéresse aux pratiques managériales et organisationnelles associées à ces notions</w:t>
      </w:r>
      <w:r w:rsidRPr="000E33BF">
        <w:t>.</w:t>
      </w:r>
    </w:p>
    <w:p w14:paraId="3B095791" w14:textId="3D141941" w:rsidR="000E33BF" w:rsidRDefault="0027107C" w:rsidP="00B91402">
      <w:pPr>
        <w:spacing w:before="120" w:line="276" w:lineRule="auto"/>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 xml:space="preserve">L’objet de cet article est donc d’apporter une contribution à la fois théorique et pratique quant à la clarification, </w:t>
      </w:r>
      <w:r w:rsidR="000E33BF">
        <w:rPr>
          <w:rFonts w:ascii="Times New Roman" w:eastAsia="Times New Roman" w:hAnsi="Times New Roman" w:cs="Times New Roman"/>
          <w:color w:val="000000"/>
          <w:lang w:eastAsia="fr-FR"/>
        </w:rPr>
        <w:t xml:space="preserve">mais aussi à  la </w:t>
      </w:r>
      <w:r w:rsidR="00D22E0D">
        <w:rPr>
          <w:rFonts w:ascii="Times New Roman" w:eastAsia="Times New Roman" w:hAnsi="Times New Roman" w:cs="Times New Roman"/>
          <w:color w:val="000000"/>
          <w:lang w:eastAsia="fr-FR"/>
        </w:rPr>
        <w:t>compréhension de ces concepts,</w:t>
      </w:r>
      <w:r w:rsidR="000E33BF">
        <w:rPr>
          <w:rFonts w:ascii="Times New Roman" w:eastAsia="Times New Roman" w:hAnsi="Times New Roman" w:cs="Times New Roman"/>
          <w:color w:val="000000"/>
          <w:lang w:eastAsia="fr-FR"/>
        </w:rPr>
        <w:t xml:space="preserve"> </w:t>
      </w:r>
      <w:r w:rsidRPr="000E33BF">
        <w:rPr>
          <w:rFonts w:ascii="Times New Roman" w:eastAsia="Times New Roman" w:hAnsi="Times New Roman" w:cs="Times New Roman"/>
          <w:color w:val="000000"/>
          <w:lang w:eastAsia="fr-FR"/>
        </w:rPr>
        <w:t xml:space="preserve">leur articulation et leur déclinaison en pratiques. </w:t>
      </w:r>
      <w:r w:rsidR="000E33BF">
        <w:rPr>
          <w:rFonts w:ascii="Times New Roman" w:eastAsia="Times New Roman" w:hAnsi="Times New Roman" w:cs="Times New Roman"/>
          <w:color w:val="000000"/>
          <w:lang w:eastAsia="fr-FR"/>
        </w:rPr>
        <w:t>Il s’agit</w:t>
      </w:r>
      <w:r w:rsidRPr="000E33BF">
        <w:rPr>
          <w:rFonts w:ascii="Times New Roman" w:eastAsia="Times New Roman" w:hAnsi="Times New Roman" w:cs="Times New Roman"/>
          <w:color w:val="000000"/>
          <w:lang w:eastAsia="fr-FR"/>
        </w:rPr>
        <w:t xml:space="preserve"> </w:t>
      </w:r>
      <w:r w:rsidR="000E33BF">
        <w:rPr>
          <w:rFonts w:ascii="Times New Roman" w:eastAsia="Times New Roman" w:hAnsi="Times New Roman" w:cs="Times New Roman"/>
          <w:color w:val="000000"/>
          <w:lang w:eastAsia="fr-FR"/>
        </w:rPr>
        <w:t>d’</w:t>
      </w:r>
      <w:r w:rsidRPr="000E33BF">
        <w:rPr>
          <w:rFonts w:ascii="Times New Roman" w:eastAsia="Times New Roman" w:hAnsi="Times New Roman" w:cs="Times New Roman"/>
          <w:color w:val="000000"/>
          <w:lang w:eastAsia="fr-FR"/>
        </w:rPr>
        <w:t xml:space="preserve">étudier les recouvrements et les singularités entre QVT et bien-être au travail et surtout </w:t>
      </w:r>
      <w:r w:rsidR="000E33BF">
        <w:rPr>
          <w:rFonts w:ascii="Times New Roman" w:eastAsia="Times New Roman" w:hAnsi="Times New Roman" w:cs="Times New Roman"/>
          <w:color w:val="000000"/>
          <w:lang w:eastAsia="fr-FR"/>
        </w:rPr>
        <w:t>d’</w:t>
      </w:r>
      <w:r w:rsidRPr="000E33BF">
        <w:rPr>
          <w:rFonts w:ascii="Times New Roman" w:eastAsia="Times New Roman" w:hAnsi="Times New Roman" w:cs="Times New Roman"/>
          <w:color w:val="000000"/>
          <w:lang w:eastAsia="fr-FR"/>
        </w:rPr>
        <w:t>esquisser une généalogie des pratiques organisationnelles</w:t>
      </w:r>
      <w:r w:rsidR="000E33BF">
        <w:rPr>
          <w:rFonts w:ascii="Times New Roman" w:eastAsia="Times New Roman" w:hAnsi="Times New Roman" w:cs="Times New Roman"/>
          <w:color w:val="000000"/>
          <w:lang w:eastAsia="fr-FR"/>
        </w:rPr>
        <w:t xml:space="preserve"> et managériales, qu’elles concernent l’individu</w:t>
      </w:r>
      <w:r w:rsidR="004B1ECD">
        <w:rPr>
          <w:rFonts w:ascii="Times New Roman" w:eastAsia="Times New Roman" w:hAnsi="Times New Roman" w:cs="Times New Roman"/>
          <w:color w:val="000000"/>
          <w:lang w:eastAsia="fr-FR"/>
        </w:rPr>
        <w:t>,</w:t>
      </w:r>
      <w:r w:rsidR="000E33BF">
        <w:rPr>
          <w:rFonts w:ascii="Times New Roman" w:eastAsia="Times New Roman" w:hAnsi="Times New Roman" w:cs="Times New Roman"/>
          <w:color w:val="000000"/>
          <w:lang w:eastAsia="fr-FR"/>
        </w:rPr>
        <w:t xml:space="preserve"> les collectifs ou l’organisation</w:t>
      </w:r>
      <w:r w:rsidRPr="000E33BF">
        <w:rPr>
          <w:rFonts w:ascii="Times New Roman" w:eastAsia="Times New Roman" w:hAnsi="Times New Roman" w:cs="Times New Roman"/>
          <w:color w:val="000000"/>
          <w:lang w:eastAsia="fr-FR"/>
        </w:rPr>
        <w:t xml:space="preserve">. </w:t>
      </w:r>
    </w:p>
    <w:p w14:paraId="37A58808" w14:textId="4719A050"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Cette recherche repose sur une enquête</w:t>
      </w:r>
      <w:r w:rsidR="00862A46" w:rsidRPr="000E33BF">
        <w:rPr>
          <w:rFonts w:ascii="Times New Roman" w:eastAsia="Times New Roman" w:hAnsi="Times New Roman" w:cs="Times New Roman"/>
          <w:color w:val="000000"/>
          <w:lang w:eastAsia="fr-FR"/>
        </w:rPr>
        <w:t xml:space="preserve"> portant sur les pratiques de QVT et leurs impacts</w:t>
      </w:r>
      <w:r w:rsidR="00D22E0D">
        <w:rPr>
          <w:rFonts w:ascii="Times New Roman" w:eastAsia="Times New Roman" w:hAnsi="Times New Roman" w:cs="Times New Roman"/>
          <w:color w:val="000000"/>
          <w:lang w:eastAsia="fr-FR"/>
        </w:rPr>
        <w:t>,</w:t>
      </w:r>
      <w:r w:rsidRPr="000E33BF">
        <w:rPr>
          <w:rFonts w:ascii="Times New Roman" w:eastAsia="Times New Roman" w:hAnsi="Times New Roman" w:cs="Times New Roman"/>
          <w:color w:val="000000"/>
          <w:lang w:eastAsia="fr-FR"/>
        </w:rPr>
        <w:t xml:space="preserve"> menée auprès de </w:t>
      </w:r>
      <w:r w:rsidR="000E33BF">
        <w:rPr>
          <w:rFonts w:ascii="Times New Roman" w:eastAsia="Times New Roman" w:hAnsi="Times New Roman" w:cs="Times New Roman"/>
          <w:color w:val="000000"/>
          <w:lang w:eastAsia="fr-FR"/>
        </w:rPr>
        <w:t xml:space="preserve">825 personnes appartenant à </w:t>
      </w:r>
      <w:r w:rsidRPr="000E33BF">
        <w:rPr>
          <w:rFonts w:ascii="Times New Roman" w:eastAsia="Times New Roman" w:hAnsi="Times New Roman" w:cs="Times New Roman"/>
          <w:color w:val="000000"/>
          <w:lang w:eastAsia="fr-FR"/>
        </w:rPr>
        <w:t>100 organisations publiques de même nature exerçant dans l’univers social.</w:t>
      </w:r>
    </w:p>
    <w:p w14:paraId="646063CF" w14:textId="1F2CAD56" w:rsidR="000069D4" w:rsidRPr="000E33BF" w:rsidRDefault="001C7670" w:rsidP="00B91402">
      <w:pPr>
        <w:pStyle w:val="Titre2"/>
        <w:spacing w:line="276" w:lineRule="auto"/>
      </w:pPr>
      <w:r w:rsidRPr="000E33BF">
        <w:t xml:space="preserve">1. </w:t>
      </w:r>
      <w:r w:rsidR="000069D4" w:rsidRPr="000E33BF">
        <w:t>Du bien-être à la Qualité de Vie au Travail</w:t>
      </w:r>
    </w:p>
    <w:p w14:paraId="3D2804C4" w14:textId="6FA826B7" w:rsidR="004B1ECD" w:rsidRPr="004B1ECD" w:rsidRDefault="004B1ECD" w:rsidP="00B91402">
      <w:pPr>
        <w:pStyle w:val="Titre3"/>
        <w:spacing w:before="120" w:after="120" w:line="276" w:lineRule="auto"/>
        <w:rPr>
          <w:rFonts w:eastAsia="Times New Roman" w:cs="Times New Roman"/>
          <w:b w:val="0"/>
          <w:i w:val="0"/>
          <w:lang w:eastAsia="fr-FR"/>
        </w:rPr>
      </w:pPr>
      <w:r>
        <w:rPr>
          <w:rFonts w:eastAsia="Times New Roman" w:cs="Times New Roman"/>
          <w:b w:val="0"/>
          <w:i w:val="0"/>
          <w:lang w:eastAsia="fr-FR"/>
        </w:rPr>
        <w:t>Si le bien-être peut se penser à travers le dualisme hédonisme eudémonisme (1.1.), la Qualité de Vie au Travail apparaît comme un concept fourre-tout qui s’adapte aux différents contextes (1.2.)</w:t>
      </w:r>
    </w:p>
    <w:p w14:paraId="60E1F249" w14:textId="2F1BD60E" w:rsidR="0027107C" w:rsidRPr="000E33BF" w:rsidRDefault="004B1ECD" w:rsidP="00B91402">
      <w:pPr>
        <w:pStyle w:val="Titre3"/>
        <w:spacing w:before="120" w:after="120" w:line="276" w:lineRule="auto"/>
        <w:rPr>
          <w:rFonts w:eastAsia="Times New Roman" w:cs="Times New Roman"/>
          <w:lang w:eastAsia="fr-FR"/>
        </w:rPr>
      </w:pPr>
      <w:r>
        <w:rPr>
          <w:rFonts w:eastAsia="Times New Roman" w:cs="Times New Roman"/>
          <w:lang w:eastAsia="fr-FR"/>
        </w:rPr>
        <w:t>1.1</w:t>
      </w:r>
      <w:r w:rsidR="00424942" w:rsidRPr="000E33BF">
        <w:rPr>
          <w:rFonts w:eastAsia="Times New Roman" w:cs="Times New Roman"/>
          <w:lang w:eastAsia="fr-FR"/>
        </w:rPr>
        <w:t>.</w:t>
      </w:r>
      <w:r w:rsidR="00D94EB4" w:rsidRPr="000E33BF">
        <w:rPr>
          <w:rFonts w:eastAsia="Times New Roman" w:cs="Times New Roman"/>
          <w:lang w:eastAsia="fr-FR"/>
        </w:rPr>
        <w:t xml:space="preserve"> </w:t>
      </w:r>
      <w:r w:rsidR="0027107C" w:rsidRPr="000E33BF">
        <w:rPr>
          <w:rFonts w:eastAsia="Times New Roman" w:cs="Times New Roman"/>
          <w:lang w:eastAsia="fr-FR"/>
        </w:rPr>
        <w:t>Le bien-être au travail : une perspective salutogénique entre hédonisme et eudémonisme</w:t>
      </w:r>
    </w:p>
    <w:p w14:paraId="5718BE8C" w14:textId="5D41122C" w:rsidR="006A7D66" w:rsidRPr="000E33BF" w:rsidRDefault="0027107C" w:rsidP="00B91402">
      <w:pPr>
        <w:spacing w:before="120" w:line="276" w:lineRule="auto"/>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Par rapport au stress ou à la souffrance au travail, le bien-être au travail a longtemps pâti d’un déficit de définition et de c</w:t>
      </w:r>
      <w:r w:rsidR="006A7D66" w:rsidRPr="000E33BF">
        <w:rPr>
          <w:rFonts w:ascii="Times New Roman" w:eastAsia="Times New Roman" w:hAnsi="Times New Roman" w:cs="Times New Roman"/>
          <w:color w:val="000000"/>
          <w:lang w:eastAsia="fr-FR"/>
        </w:rPr>
        <w:t>onceptualisation (Dejours, 1998 ;</w:t>
      </w:r>
      <w:r w:rsidR="001911A7">
        <w:rPr>
          <w:rFonts w:ascii="Times New Roman" w:eastAsia="Times New Roman" w:hAnsi="Times New Roman" w:cs="Times New Roman"/>
          <w:color w:val="000000"/>
          <w:lang w:eastAsia="fr-FR"/>
        </w:rPr>
        <w:t xml:space="preserve"> Gollac, 2009), il</w:t>
      </w:r>
      <w:r w:rsidRPr="000E33BF">
        <w:rPr>
          <w:rFonts w:ascii="Times New Roman" w:eastAsia="Times New Roman" w:hAnsi="Times New Roman" w:cs="Times New Roman"/>
          <w:color w:val="000000"/>
          <w:lang w:eastAsia="fr-FR"/>
        </w:rPr>
        <w:t xml:space="preserve"> propose une perspective salutogénique du travail (Antonovsky, 1987) qui se structure en deux courants hédonique et eudémonique (Da</w:t>
      </w:r>
      <w:r w:rsidR="006A7D66" w:rsidRPr="000E33BF">
        <w:rPr>
          <w:rFonts w:ascii="Times New Roman" w:eastAsia="Times New Roman" w:hAnsi="Times New Roman" w:cs="Times New Roman"/>
          <w:color w:val="000000"/>
          <w:lang w:eastAsia="fr-FR"/>
        </w:rPr>
        <w:t>genais-Desmarais &amp; Savoie, 2012 ;</w:t>
      </w:r>
      <w:r w:rsidRPr="000E33BF">
        <w:rPr>
          <w:rFonts w:ascii="Times New Roman" w:eastAsia="Times New Roman" w:hAnsi="Times New Roman" w:cs="Times New Roman"/>
          <w:color w:val="000000"/>
          <w:lang w:eastAsia="fr-FR"/>
        </w:rPr>
        <w:t xml:space="preserve"> Deci &amp; Ryan, 2008).</w:t>
      </w:r>
    </w:p>
    <w:p w14:paraId="59EFA4EF" w14:textId="77777777" w:rsidR="004B1ECD" w:rsidRDefault="0027107C" w:rsidP="00B91402">
      <w:pPr>
        <w:spacing w:before="120" w:line="276" w:lineRule="auto"/>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Le courant hédoniq</w:t>
      </w:r>
      <w:r w:rsidR="000E33BF">
        <w:rPr>
          <w:rFonts w:ascii="Times New Roman" w:eastAsia="Times New Roman" w:hAnsi="Times New Roman" w:cs="Times New Roman"/>
          <w:color w:val="000000"/>
          <w:lang w:eastAsia="fr-FR"/>
        </w:rPr>
        <w:t xml:space="preserve">ue </w:t>
      </w:r>
      <w:r w:rsidR="001911A7">
        <w:rPr>
          <w:rFonts w:ascii="Times New Roman" w:eastAsia="Times New Roman" w:hAnsi="Times New Roman" w:cs="Times New Roman"/>
          <w:color w:val="000000"/>
          <w:lang w:eastAsia="fr-FR"/>
        </w:rPr>
        <w:t>définit le bien-être comme « </w:t>
      </w:r>
      <w:r w:rsidRPr="000E33BF">
        <w:rPr>
          <w:rFonts w:ascii="Times New Roman" w:eastAsia="Times New Roman" w:hAnsi="Times New Roman" w:cs="Times New Roman"/>
          <w:i/>
          <w:color w:val="000000"/>
          <w:lang w:eastAsia="fr-FR"/>
        </w:rPr>
        <w:t>un plaisir, ou un bo</w:t>
      </w:r>
      <w:r w:rsidR="000E33BF" w:rsidRPr="000E33BF">
        <w:rPr>
          <w:rFonts w:ascii="Times New Roman" w:eastAsia="Times New Roman" w:hAnsi="Times New Roman" w:cs="Times New Roman"/>
          <w:i/>
          <w:color w:val="000000"/>
          <w:lang w:eastAsia="fr-FR"/>
        </w:rPr>
        <w:t>nheur subjectif vécu au travail</w:t>
      </w:r>
      <w:r w:rsidR="001911A7">
        <w:rPr>
          <w:rFonts w:ascii="Times New Roman" w:eastAsia="Times New Roman" w:hAnsi="Times New Roman" w:cs="Times New Roman"/>
          <w:color w:val="000000"/>
          <w:lang w:eastAsia="fr-FR"/>
        </w:rPr>
        <w:t> »</w:t>
      </w:r>
      <w:r w:rsidRPr="000E33BF">
        <w:rPr>
          <w:rFonts w:ascii="Times New Roman" w:eastAsia="Times New Roman" w:hAnsi="Times New Roman" w:cs="Times New Roman"/>
          <w:color w:val="000000"/>
          <w:lang w:eastAsia="fr-FR"/>
        </w:rPr>
        <w:t xml:space="preserve"> (Kahneman, Diener, &amp; Schwartz, 1999). Diener a développé dans cette perspective la notion de bien-être </w:t>
      </w:r>
      <w:r w:rsidRPr="000E33BF">
        <w:rPr>
          <w:rFonts w:ascii="Times New Roman" w:eastAsia="Times New Roman" w:hAnsi="Times New Roman" w:cs="Times New Roman"/>
          <w:i/>
          <w:iCs/>
          <w:color w:val="000000"/>
          <w:lang w:eastAsia="fr-FR"/>
        </w:rPr>
        <w:t>subjectif</w:t>
      </w:r>
      <w:r w:rsidRPr="000E33BF">
        <w:rPr>
          <w:rFonts w:ascii="Times New Roman" w:eastAsia="Times New Roman" w:hAnsi="Times New Roman" w:cs="Times New Roman"/>
          <w:color w:val="000000"/>
          <w:lang w:eastAsia="fr-FR"/>
        </w:rPr>
        <w:t xml:space="preserve"> </w:t>
      </w:r>
      <w:r w:rsidR="001911A7">
        <w:rPr>
          <w:rFonts w:ascii="Times New Roman" w:eastAsia="Times New Roman" w:hAnsi="Times New Roman" w:cs="Times New Roman"/>
          <w:color w:val="000000"/>
          <w:lang w:eastAsia="fr-FR"/>
        </w:rPr>
        <w:t>dès 1984. Il le définit comme « </w:t>
      </w:r>
      <w:r w:rsidRPr="000E33BF">
        <w:rPr>
          <w:rFonts w:ascii="Times New Roman" w:eastAsia="Times New Roman" w:hAnsi="Times New Roman" w:cs="Times New Roman"/>
          <w:i/>
          <w:color w:val="000000"/>
          <w:lang w:eastAsia="fr-FR"/>
        </w:rPr>
        <w:t>l’évalua</w:t>
      </w:r>
      <w:r w:rsidR="000E33BF">
        <w:rPr>
          <w:rFonts w:ascii="Times New Roman" w:eastAsia="Times New Roman" w:hAnsi="Times New Roman" w:cs="Times New Roman"/>
          <w:i/>
          <w:color w:val="000000"/>
          <w:lang w:eastAsia="fr-FR"/>
        </w:rPr>
        <w:t xml:space="preserve">tion par une personne </w:t>
      </w:r>
      <w:r w:rsidR="000E33BF">
        <w:rPr>
          <w:rFonts w:ascii="Times New Roman" w:eastAsia="Times New Roman" w:hAnsi="Times New Roman" w:cs="Times New Roman"/>
          <w:i/>
          <w:color w:val="000000"/>
          <w:lang w:eastAsia="fr-FR"/>
        </w:rPr>
        <w:lastRenderedPageBreak/>
        <w:t>de sa vie</w:t>
      </w:r>
      <w:r w:rsidR="001911A7">
        <w:rPr>
          <w:rFonts w:ascii="Times New Roman" w:eastAsia="Times New Roman" w:hAnsi="Times New Roman" w:cs="Times New Roman"/>
          <w:color w:val="000000"/>
          <w:lang w:eastAsia="fr-FR"/>
        </w:rPr>
        <w:t> »</w:t>
      </w:r>
      <w:r w:rsidRPr="000E33BF">
        <w:rPr>
          <w:rFonts w:ascii="Times New Roman" w:eastAsia="Times New Roman" w:hAnsi="Times New Roman" w:cs="Times New Roman"/>
          <w:color w:val="000000"/>
          <w:lang w:eastAsia="fr-FR"/>
        </w:rPr>
        <w:t xml:space="preserve"> (Diener et al., 1998, p. 34) en fonction des humeurs, jugements ou réactions émotionnelles portés sur la satisfaction de sa vie (Diener et al., 2003) sans distinction entre vies privée et professionnelle. Le bien-être est alors un construit multidimensionnel composé d’affects positifs, d’absence d’affects négatifs et d’un sentiment de satisfaction (Diener et al., 2017). </w:t>
      </w:r>
    </w:p>
    <w:p w14:paraId="6B52ED81" w14:textId="59975A76"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Ce courant plutôt individualiste et subjectiviste a semblé ainsi dominer la recherche dans les années 1990. Mais il a </w:t>
      </w:r>
      <w:r w:rsidR="00A2028C">
        <w:rPr>
          <w:rFonts w:ascii="Times New Roman" w:eastAsia="Times New Roman" w:hAnsi="Times New Roman" w:cs="Times New Roman"/>
          <w:color w:val="000000"/>
          <w:lang w:eastAsia="fr-FR"/>
        </w:rPr>
        <w:t>également été critiqué</w:t>
      </w:r>
      <w:r w:rsidRPr="000E33BF">
        <w:rPr>
          <w:rFonts w:ascii="Times New Roman" w:eastAsia="Times New Roman" w:hAnsi="Times New Roman" w:cs="Times New Roman"/>
          <w:color w:val="000000"/>
          <w:lang w:eastAsia="fr-FR"/>
        </w:rPr>
        <w:t xml:space="preserve"> sur le fait qu’il était abusif de réduire le bien-être au travail à la simple satisfaction ou au plaisir ressenti à faire son travail. De plus la dimension subjective de l’approche rend toute généralisation complexe voire impossible quant aux éléments qui seraient susceptibles de soutenir le bien-être. Même si Diener défend une approche cognitivo-comportementale (apprentissage par l’expérience avec un réajustement selon les événements vécus) le point de vue hédoniste est très limitant quant à l’identification de facteurs organisationnels </w:t>
      </w:r>
      <w:r w:rsidR="00424942" w:rsidRPr="000E33BF">
        <w:rPr>
          <w:rFonts w:ascii="Times New Roman" w:eastAsia="Times New Roman" w:hAnsi="Times New Roman" w:cs="Times New Roman"/>
          <w:color w:val="000000"/>
          <w:lang w:eastAsia="fr-FR"/>
        </w:rPr>
        <w:t>puisqu’essentiellement</w:t>
      </w:r>
      <w:r w:rsidRPr="000E33BF">
        <w:rPr>
          <w:rFonts w:ascii="Times New Roman" w:eastAsia="Times New Roman" w:hAnsi="Times New Roman" w:cs="Times New Roman"/>
          <w:color w:val="000000"/>
          <w:lang w:eastAsia="fr-FR"/>
        </w:rPr>
        <w:t xml:space="preserve"> subjectif.</w:t>
      </w:r>
    </w:p>
    <w:p w14:paraId="676E563C" w14:textId="3A100960"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Cowen (1994) montre par ailleur</w:t>
      </w:r>
      <w:r w:rsidR="006A7D66" w:rsidRPr="000E33BF">
        <w:rPr>
          <w:rFonts w:ascii="Times New Roman" w:eastAsia="Times New Roman" w:hAnsi="Times New Roman" w:cs="Times New Roman"/>
          <w:color w:val="000000"/>
          <w:lang w:eastAsia="fr-FR"/>
        </w:rPr>
        <w:t>s</w:t>
      </w:r>
      <w:r w:rsidR="001911A7">
        <w:rPr>
          <w:rFonts w:ascii="Times New Roman" w:eastAsia="Times New Roman" w:hAnsi="Times New Roman" w:cs="Times New Roman"/>
          <w:color w:val="000000"/>
          <w:lang w:eastAsia="fr-FR"/>
        </w:rPr>
        <w:t xml:space="preserve"> que le bien-être au travail (« </w:t>
      </w:r>
      <w:r w:rsidRPr="000E33BF">
        <w:rPr>
          <w:rFonts w:ascii="Times New Roman" w:eastAsia="Times New Roman" w:hAnsi="Times New Roman" w:cs="Times New Roman"/>
          <w:i/>
          <w:color w:val="000000"/>
          <w:lang w:eastAsia="fr-FR"/>
        </w:rPr>
        <w:t>psychological wellness</w:t>
      </w:r>
      <w:r w:rsidR="001911A7">
        <w:rPr>
          <w:rFonts w:ascii="Times New Roman" w:eastAsia="Times New Roman" w:hAnsi="Times New Roman" w:cs="Times New Roman"/>
          <w:color w:val="000000"/>
          <w:lang w:eastAsia="fr-FR"/>
        </w:rPr>
        <w:t> »</w:t>
      </w:r>
      <w:r w:rsidRPr="000E33BF">
        <w:rPr>
          <w:rFonts w:ascii="Times New Roman" w:eastAsia="Times New Roman" w:hAnsi="Times New Roman" w:cs="Times New Roman"/>
          <w:color w:val="000000"/>
          <w:lang w:eastAsia="fr-FR"/>
        </w:rPr>
        <w:t>) ne consiste pas simplement dans le fait de ressentir du plaisir mais qu’il résulte d’un processus plus complexe consistant à entretenir des relations interpersonnelles harmonieuses, construire un milieu favorisant le sentiment d’une certaine maîtrise sur son environnement professionnel, voire à être en capacité de développer des compétences ap</w:t>
      </w:r>
      <w:r w:rsidR="006348A5" w:rsidRPr="000E33BF">
        <w:rPr>
          <w:rFonts w:ascii="Times New Roman" w:eastAsia="Times New Roman" w:hAnsi="Times New Roman" w:cs="Times New Roman"/>
          <w:color w:val="000000"/>
          <w:lang w:eastAsia="fr-FR"/>
        </w:rPr>
        <w:t>propriées pour tenir son poste.</w:t>
      </w:r>
    </w:p>
    <w:p w14:paraId="0EEF3D0D" w14:textId="73B10D53"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Ainsi les conceptions eudémoniques du bien-être se construisent autour de la notion de «</w:t>
      </w:r>
      <w:r w:rsidR="00424942" w:rsidRPr="000E33BF">
        <w:rPr>
          <w:rFonts w:ascii="Times New Roman" w:eastAsia="Times New Roman" w:hAnsi="Times New Roman" w:cs="Times New Roman"/>
          <w:color w:val="000000"/>
          <w:lang w:eastAsia="fr-FR"/>
        </w:rPr>
        <w:t> </w:t>
      </w:r>
      <w:r w:rsidRPr="000E33BF">
        <w:rPr>
          <w:rFonts w:ascii="Times New Roman" w:eastAsia="Times New Roman" w:hAnsi="Times New Roman" w:cs="Times New Roman"/>
          <w:color w:val="000000"/>
          <w:lang w:eastAsia="fr-FR"/>
        </w:rPr>
        <w:t xml:space="preserve">réalisation de soi ». Il ne s’agit plus seulement de la satisfaction d’un plaisir immédiat mais d’une démarche globale visant à « atteindre le meilleur de soi » (Ryff &amp; Singer, 2008 </w:t>
      </w:r>
      <w:r w:rsidRPr="000E33BF">
        <w:rPr>
          <w:rFonts w:ascii="Times New Roman" w:eastAsia="Times New Roman" w:hAnsi="Times New Roman" w:cs="Times New Roman"/>
          <w:i/>
          <w:color w:val="000000"/>
          <w:lang w:eastAsia="fr-FR"/>
        </w:rPr>
        <w:t>in</w:t>
      </w:r>
      <w:r w:rsidRPr="000E33BF">
        <w:rPr>
          <w:rFonts w:ascii="Times New Roman" w:eastAsia="Times New Roman" w:hAnsi="Times New Roman" w:cs="Times New Roman"/>
          <w:color w:val="000000"/>
          <w:lang w:eastAsia="fr-FR"/>
        </w:rPr>
        <w:t xml:space="preserve"> Dagenais-Desmarais &amp; Savoie, 2012).</w:t>
      </w:r>
    </w:p>
    <w:p w14:paraId="0B05DBDD" w14:textId="65C62EC0"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Plus récemment, certains chercheurs ont cherché à combiner les approches hédonique et eudém</w:t>
      </w:r>
      <w:r w:rsidR="006348A5" w:rsidRPr="000E33BF">
        <w:rPr>
          <w:rFonts w:ascii="Times New Roman" w:eastAsia="Times New Roman" w:hAnsi="Times New Roman" w:cs="Times New Roman"/>
          <w:color w:val="000000"/>
          <w:lang w:eastAsia="fr-FR"/>
        </w:rPr>
        <w:t>onique (Biétry &amp; Creusier, 2013 ;</w:t>
      </w:r>
      <w:r w:rsidRPr="000E33BF">
        <w:rPr>
          <w:rFonts w:ascii="Times New Roman" w:eastAsia="Times New Roman" w:hAnsi="Times New Roman" w:cs="Times New Roman"/>
          <w:color w:val="000000"/>
          <w:lang w:eastAsia="fr-FR"/>
        </w:rPr>
        <w:t xml:space="preserve"> Ryan &amp; Deci, 2001). </w:t>
      </w:r>
      <w:r w:rsidR="006348A5" w:rsidRPr="000E33BF">
        <w:rPr>
          <w:rFonts w:ascii="Times New Roman" w:eastAsia="Times New Roman" w:hAnsi="Times New Roman" w:cs="Times New Roman"/>
          <w:color w:val="000000"/>
          <w:lang w:eastAsia="fr-FR"/>
        </w:rPr>
        <w:t>L</w:t>
      </w:r>
      <w:r w:rsidRPr="000E33BF">
        <w:rPr>
          <w:rFonts w:ascii="Times New Roman" w:eastAsia="Times New Roman" w:hAnsi="Times New Roman" w:cs="Times New Roman"/>
          <w:color w:val="000000"/>
          <w:lang w:eastAsia="fr-FR"/>
        </w:rPr>
        <w:t>a théorie de l’auto-détermination développée par Deci et Ryan (</w:t>
      </w:r>
      <w:r w:rsidR="00424942" w:rsidRPr="000E33BF">
        <w:rPr>
          <w:rFonts w:ascii="Times New Roman" w:eastAsia="Times New Roman" w:hAnsi="Times New Roman" w:cs="Times New Roman"/>
          <w:color w:val="000000"/>
          <w:lang w:eastAsia="fr-FR"/>
        </w:rPr>
        <w:t>2008</w:t>
      </w:r>
      <w:r w:rsidRPr="000E33BF">
        <w:rPr>
          <w:rFonts w:ascii="Times New Roman" w:eastAsia="Times New Roman" w:hAnsi="Times New Roman" w:cs="Times New Roman"/>
          <w:color w:val="000000"/>
          <w:lang w:eastAsia="fr-FR"/>
        </w:rPr>
        <w:t>) en est un exemple. Articulée autour de trois besoins psychologiques fondamentaux (autonomie, affiliation et compétence), l’atteinte d’un but n’apporte du bien-être que par l’appropriation des moyens et la concordance avec la satisfaction de</w:t>
      </w:r>
      <w:r w:rsidR="006348A5" w:rsidRPr="000E33BF">
        <w:rPr>
          <w:rFonts w:ascii="Times New Roman" w:eastAsia="Times New Roman" w:hAnsi="Times New Roman" w:cs="Times New Roman"/>
          <w:color w:val="000000"/>
          <w:lang w:eastAsia="fr-FR"/>
        </w:rPr>
        <w:t xml:space="preserve"> ce</w:t>
      </w:r>
      <w:r w:rsidRPr="000E33BF">
        <w:rPr>
          <w:rFonts w:ascii="Times New Roman" w:eastAsia="Times New Roman" w:hAnsi="Times New Roman" w:cs="Times New Roman"/>
          <w:color w:val="000000"/>
          <w:lang w:eastAsia="fr-FR"/>
        </w:rPr>
        <w:t>s besoins fondamentaux.</w:t>
      </w:r>
    </w:p>
    <w:p w14:paraId="7AD07357" w14:textId="77777777"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Dans une perspective salutogénique (Neveu, 2012 ; Antonovsky, 1987), Abord de Chatillon et Richard (2015) proposent le SLAC comme cadre d’analyse visant à combiner le bien-être au travail et la QVT. Ce modèle porte essentiellement sur les conditions du bien-être au travail à travers quatre dimensions que sont le Sens, le Lien social, l’Activité et le Confort. Le se</w:t>
      </w:r>
      <w:r w:rsidR="007A435E" w:rsidRPr="000E33BF">
        <w:rPr>
          <w:rFonts w:ascii="Times New Roman" w:eastAsia="Times New Roman" w:hAnsi="Times New Roman" w:cs="Times New Roman"/>
          <w:color w:val="000000"/>
          <w:lang w:eastAsia="fr-FR"/>
        </w:rPr>
        <w:t>ns et l’activité, qualifiés de « facteurs intrinsèques »</w:t>
      </w:r>
      <w:r w:rsidRPr="000E33BF">
        <w:rPr>
          <w:rFonts w:ascii="Times New Roman" w:eastAsia="Times New Roman" w:hAnsi="Times New Roman" w:cs="Times New Roman"/>
          <w:color w:val="000000"/>
          <w:lang w:eastAsia="fr-FR"/>
        </w:rPr>
        <w:t>, sont subjectifs tandis que le lien et le confort, « deux dimensions plus sociales et objectives » sont « des facteurs d’hygiène » (Abord de Chatillon et Richard, 2015, p. 58).</w:t>
      </w:r>
    </w:p>
    <w:p w14:paraId="11456A6C" w14:textId="77777777" w:rsidR="007D4631" w:rsidRDefault="0027107C" w:rsidP="00B91402">
      <w:pPr>
        <w:spacing w:before="120" w:line="276" w:lineRule="auto"/>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 xml:space="preserve">La psychologie positive en tant qu’étude scientifique de ce qui rend la vie digne d’être vécue concentre ses efforts sur les expériences subjectives positives (bien-être subjectif, gratitude...), les traits positifs de caractère (optimisme, estime de soi…) et les institutions positives (entreprise bienveillante…) (Seligman, 2004 ; Seligman &amp; Csikszentmihalyi, 2000). A l’opposé de la psychopathologie du travail qui se focalise sur les méfaits du travail (par ex. </w:t>
      </w:r>
      <w:r w:rsidRPr="000E33BF">
        <w:rPr>
          <w:rFonts w:ascii="Times New Roman" w:eastAsia="Times New Roman" w:hAnsi="Times New Roman" w:cs="Times New Roman"/>
          <w:color w:val="000000"/>
          <w:lang w:eastAsia="fr-FR"/>
        </w:rPr>
        <w:lastRenderedPageBreak/>
        <w:t>Dejours, 1998), la psychologie positive postule une association travail-bien-être à condition que l’activité s’articule à de</w:t>
      </w:r>
      <w:r w:rsidR="007A435E" w:rsidRPr="000E33BF">
        <w:rPr>
          <w:rFonts w:ascii="Times New Roman" w:eastAsia="Times New Roman" w:hAnsi="Times New Roman" w:cs="Times New Roman"/>
          <w:color w:val="000000"/>
          <w:lang w:eastAsia="fr-FR"/>
        </w:rPr>
        <w:t>s</w:t>
      </w:r>
      <w:r w:rsidRPr="000E33BF">
        <w:rPr>
          <w:rFonts w:ascii="Times New Roman" w:eastAsia="Times New Roman" w:hAnsi="Times New Roman" w:cs="Times New Roman"/>
          <w:color w:val="000000"/>
          <w:lang w:eastAsia="fr-FR"/>
        </w:rPr>
        <w:t xml:space="preserve"> valeurs d’humanité et de justice (Cottreaux, 2012). Ce courant a fait l’objet d’une critique récente du fait qu’il élargirait le champ de la consommation et le modèle libéral individualiste à notre intériorité, faisant </w:t>
      </w:r>
      <w:r w:rsidR="007A435E" w:rsidRPr="000E33BF">
        <w:rPr>
          <w:rFonts w:ascii="Times New Roman" w:eastAsia="Times New Roman" w:hAnsi="Times New Roman" w:cs="Times New Roman"/>
          <w:color w:val="000000"/>
          <w:lang w:eastAsia="fr-FR"/>
        </w:rPr>
        <w:t>de nos affects et émotions des « </w:t>
      </w:r>
      <w:r w:rsidRPr="000E33BF">
        <w:rPr>
          <w:rFonts w:ascii="Times New Roman" w:eastAsia="Times New Roman" w:hAnsi="Times New Roman" w:cs="Times New Roman"/>
          <w:color w:val="000000"/>
          <w:lang w:eastAsia="fr-FR"/>
        </w:rPr>
        <w:t>marcha</w:t>
      </w:r>
      <w:r w:rsidR="007A435E" w:rsidRPr="000E33BF">
        <w:rPr>
          <w:rFonts w:ascii="Times New Roman" w:eastAsia="Times New Roman" w:hAnsi="Times New Roman" w:cs="Times New Roman"/>
          <w:color w:val="000000"/>
          <w:lang w:eastAsia="fr-FR"/>
        </w:rPr>
        <w:t>ndises à gérer »</w:t>
      </w:r>
      <w:r w:rsidRPr="000E33BF">
        <w:rPr>
          <w:rFonts w:ascii="Times New Roman" w:eastAsia="Times New Roman" w:hAnsi="Times New Roman" w:cs="Times New Roman"/>
          <w:color w:val="000000"/>
          <w:lang w:eastAsia="fr-FR"/>
        </w:rPr>
        <w:t xml:space="preserve"> (Illouz, 2019). De manière plus radicale encore, la critique des auteurs porte sur le caractère réductionniste et naturaliste de la psychologie positive qui priverait le concept d’émotion de toute sa complexité et de toute sa diversité (Cabanas &amp; Illouz, 2018).</w:t>
      </w:r>
    </w:p>
    <w:p w14:paraId="3AA3A982" w14:textId="4B6AF53A" w:rsidR="00320189" w:rsidRDefault="00A375EC" w:rsidP="00B91402">
      <w:pPr>
        <w:spacing w:before="120" w:line="276"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bien-être est également perçu et étudier comme un outil visant une meilleure performance économique, l</w:t>
      </w:r>
      <w:r w:rsidR="00320189" w:rsidRPr="000E33BF">
        <w:rPr>
          <w:rFonts w:ascii="Times New Roman" w:eastAsia="Times New Roman" w:hAnsi="Times New Roman" w:cs="Times New Roman"/>
          <w:color w:val="000000"/>
          <w:lang w:eastAsia="fr-FR"/>
        </w:rPr>
        <w:t xml:space="preserve">’expérience de bien-être au travail par les salariés est </w:t>
      </w:r>
      <w:r>
        <w:rPr>
          <w:rFonts w:ascii="Times New Roman" w:eastAsia="Times New Roman" w:hAnsi="Times New Roman" w:cs="Times New Roman"/>
          <w:color w:val="000000"/>
          <w:lang w:eastAsia="fr-FR"/>
        </w:rPr>
        <w:t xml:space="preserve">d’ailleurs </w:t>
      </w:r>
      <w:r w:rsidR="00320189" w:rsidRPr="000E33BF">
        <w:rPr>
          <w:rFonts w:ascii="Times New Roman" w:eastAsia="Times New Roman" w:hAnsi="Times New Roman" w:cs="Times New Roman"/>
          <w:color w:val="000000"/>
          <w:lang w:eastAsia="fr-FR"/>
        </w:rPr>
        <w:t>corrélée selon Warr (2005) et Wright &amp; Croppanzano (2004) à un absentéisme ré</w:t>
      </w:r>
      <w:r>
        <w:rPr>
          <w:rFonts w:ascii="Times New Roman" w:eastAsia="Times New Roman" w:hAnsi="Times New Roman" w:cs="Times New Roman"/>
          <w:color w:val="000000"/>
          <w:lang w:eastAsia="fr-FR"/>
        </w:rPr>
        <w:t xml:space="preserve">duit et un gain de performance. Ce concept soulève donc bien des difficultés d’articulation entre </w:t>
      </w:r>
      <w:r w:rsidRPr="000E33BF">
        <w:rPr>
          <w:rFonts w:ascii="Times New Roman" w:eastAsia="Times New Roman" w:hAnsi="Times New Roman" w:cs="Times New Roman"/>
          <w:color w:val="000000"/>
          <w:lang w:eastAsia="fr-FR"/>
        </w:rPr>
        <w:t>les dimensions subjective, objective et collective de l’activité (Gomez, 2013).</w:t>
      </w:r>
      <w:r>
        <w:rPr>
          <w:rFonts w:ascii="Times New Roman" w:eastAsia="Times New Roman" w:hAnsi="Times New Roman" w:cs="Times New Roman"/>
          <w:color w:val="000000"/>
          <w:lang w:eastAsia="fr-FR"/>
        </w:rPr>
        <w:t xml:space="preserve"> </w:t>
      </w:r>
      <w:r w:rsidR="00320189" w:rsidRPr="000E33BF">
        <w:rPr>
          <w:rFonts w:ascii="Times New Roman" w:eastAsia="Times New Roman" w:hAnsi="Times New Roman" w:cs="Times New Roman"/>
          <w:color w:val="000000"/>
          <w:lang w:eastAsia="fr-FR"/>
        </w:rPr>
        <w:t xml:space="preserve">Nous constatons </w:t>
      </w:r>
      <w:r>
        <w:rPr>
          <w:rFonts w:ascii="Times New Roman" w:eastAsia="Times New Roman" w:hAnsi="Times New Roman" w:cs="Times New Roman"/>
          <w:color w:val="000000"/>
          <w:lang w:eastAsia="fr-FR"/>
        </w:rPr>
        <w:t xml:space="preserve">ainsi </w:t>
      </w:r>
      <w:r w:rsidR="00320189" w:rsidRPr="000E33BF">
        <w:rPr>
          <w:rFonts w:ascii="Times New Roman" w:eastAsia="Times New Roman" w:hAnsi="Times New Roman" w:cs="Times New Roman"/>
          <w:color w:val="000000"/>
          <w:lang w:eastAsia="fr-FR"/>
        </w:rPr>
        <w:t>de ce rapide panorama que de multiples définitions abordent le bien-être par ces conditions, caractéristiques ou conséquences (Bernard &amp; Abord de Chatillon, 2018) avec une grande diversité d’acceptions et d</w:t>
      </w:r>
      <w:r>
        <w:rPr>
          <w:rFonts w:ascii="Times New Roman" w:eastAsia="Times New Roman" w:hAnsi="Times New Roman" w:cs="Times New Roman"/>
          <w:color w:val="000000"/>
          <w:lang w:eastAsia="fr-FR"/>
        </w:rPr>
        <w:t xml:space="preserve">e définitions. </w:t>
      </w:r>
      <w:r w:rsidRPr="000E33BF">
        <w:rPr>
          <w:rFonts w:ascii="Times New Roman" w:eastAsia="Times New Roman" w:hAnsi="Times New Roman" w:cs="Times New Roman"/>
          <w:color w:val="000000"/>
          <w:lang w:eastAsia="fr-FR"/>
        </w:rPr>
        <w:t>Une plongée dans la littérature sur la QVT montre que ce concept ne fait pas non plus l’unanimité parmi les chercheurs.</w:t>
      </w:r>
    </w:p>
    <w:p w14:paraId="1E83E970" w14:textId="77777777" w:rsidR="0027107C" w:rsidRPr="000E33BF" w:rsidRDefault="000069D4" w:rsidP="00B91402">
      <w:pPr>
        <w:pStyle w:val="Titre3"/>
        <w:spacing w:before="120" w:after="120" w:line="276" w:lineRule="auto"/>
        <w:rPr>
          <w:rFonts w:eastAsia="Times New Roman" w:cs="Times New Roman"/>
          <w:lang w:eastAsia="fr-FR"/>
        </w:rPr>
      </w:pPr>
      <w:r w:rsidRPr="000E33BF">
        <w:rPr>
          <w:rFonts w:eastAsia="Times New Roman" w:cs="Times New Roman"/>
          <w:lang w:eastAsia="fr-FR"/>
        </w:rPr>
        <w:t xml:space="preserve">1.2 </w:t>
      </w:r>
      <w:r w:rsidR="0027107C" w:rsidRPr="000E33BF">
        <w:rPr>
          <w:rFonts w:eastAsia="Times New Roman" w:cs="Times New Roman"/>
          <w:lang w:eastAsia="fr-FR"/>
        </w:rPr>
        <w:t>La qualité de vie au travail : un concept polysémique</w:t>
      </w:r>
      <w:r w:rsidRPr="000E33BF">
        <w:rPr>
          <w:rFonts w:eastAsia="Times New Roman" w:cs="Times New Roman"/>
          <w:lang w:eastAsia="fr-FR"/>
        </w:rPr>
        <w:t xml:space="preserve"> </w:t>
      </w:r>
      <w:r w:rsidR="0027107C" w:rsidRPr="000E33BF">
        <w:rPr>
          <w:rFonts w:eastAsia="Times New Roman" w:cs="Times New Roman"/>
          <w:lang w:eastAsia="fr-FR"/>
        </w:rPr>
        <w:t>en mouvement</w:t>
      </w:r>
    </w:p>
    <w:p w14:paraId="459F3A57" w14:textId="7F02C7AF"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Les premiers travaux remontent aux années 1970 aux Etats-Unis et se fondent sur des études de cas et des programmes d’entreprises visant à améliorer les conditions de travail et d’emploi pour les employés afin qu’elles répondent à leurs besoins psychologiques, sociologiques, économiques et pol</w:t>
      </w:r>
      <w:r w:rsidR="000069D4" w:rsidRPr="000E33BF">
        <w:rPr>
          <w:rFonts w:ascii="Times New Roman" w:eastAsia="Times New Roman" w:hAnsi="Times New Roman" w:cs="Times New Roman"/>
          <w:color w:val="000000"/>
          <w:lang w:eastAsia="fr-FR"/>
        </w:rPr>
        <w:t>itiques (Davis &amp; Cherns, 1975 ;</w:t>
      </w:r>
      <w:r w:rsidRPr="000E33BF">
        <w:rPr>
          <w:rFonts w:ascii="Times New Roman" w:eastAsia="Times New Roman" w:hAnsi="Times New Roman" w:cs="Times New Roman"/>
          <w:color w:val="000000"/>
          <w:lang w:eastAsia="fr-FR"/>
        </w:rPr>
        <w:t xml:space="preserve"> Newton, Leckie, &amp; Pettman, 1979</w:t>
      </w:r>
      <w:r w:rsidR="00AC4ECF" w:rsidRPr="000E33BF">
        <w:rPr>
          <w:rFonts w:ascii="Times New Roman" w:eastAsia="Times New Roman" w:hAnsi="Times New Roman" w:cs="Times New Roman"/>
          <w:color w:val="000000"/>
          <w:lang w:eastAsia="fr-FR"/>
        </w:rPr>
        <w:t xml:space="preserve"> </w:t>
      </w:r>
      <w:r w:rsidRPr="000E33BF">
        <w:rPr>
          <w:rFonts w:ascii="Times New Roman" w:eastAsia="Times New Roman" w:hAnsi="Times New Roman" w:cs="Times New Roman"/>
          <w:color w:val="000000"/>
          <w:lang w:eastAsia="fr-FR"/>
        </w:rPr>
        <w:t>; Walton, 1973). Ils connaissent une relative éclipse dans les années 1990 au profit de la notion de bien-être au travail mais ils reviennent sur le devant de la scène académique dans les années 2000 avec un courant de recherche qui fait le lien entre QVT et performan</w:t>
      </w:r>
      <w:r w:rsidR="000A743C">
        <w:rPr>
          <w:rFonts w:ascii="Times New Roman" w:eastAsia="Times New Roman" w:hAnsi="Times New Roman" w:cs="Times New Roman"/>
          <w:color w:val="000000"/>
          <w:lang w:eastAsia="fr-FR"/>
        </w:rPr>
        <w:t>ce au travail (Beh &amp; Rose, 2007 ; Bloom &amp; Van Reenen, 2006 ;</w:t>
      </w:r>
      <w:r w:rsidRPr="000E33BF">
        <w:rPr>
          <w:rFonts w:ascii="Times New Roman" w:eastAsia="Times New Roman" w:hAnsi="Times New Roman" w:cs="Times New Roman"/>
          <w:color w:val="000000"/>
          <w:lang w:eastAsia="fr-FR"/>
        </w:rPr>
        <w:t xml:space="preserve"> Zelenski, Murphy, &amp; Jenkins, 2008). Si la corrélation entre QVT et performance au travail fait consensus au sein de la communauté académique, il y a encore débat sur le sens de la relation. Pour certains, la QVT est un levier de compétitivité pour les organisations car elle contribue à augmenter l’engagement au travail </w:t>
      </w:r>
      <w:r w:rsidR="00A045ED">
        <w:rPr>
          <w:rFonts w:ascii="Times New Roman" w:eastAsia="Times New Roman" w:hAnsi="Times New Roman" w:cs="Times New Roman"/>
          <w:color w:val="000000"/>
          <w:lang w:eastAsia="fr-FR"/>
        </w:rPr>
        <w:t xml:space="preserve">(Nia &amp; Maleki, 2013) </w:t>
      </w:r>
      <w:r w:rsidRPr="000E33BF">
        <w:rPr>
          <w:rFonts w:ascii="Times New Roman" w:eastAsia="Times New Roman" w:hAnsi="Times New Roman" w:cs="Times New Roman"/>
          <w:color w:val="000000"/>
          <w:lang w:eastAsia="fr-FR"/>
        </w:rPr>
        <w:t>et permet de mieux mobiliser le potentiel des sal</w:t>
      </w:r>
      <w:r w:rsidR="00A045ED">
        <w:rPr>
          <w:rFonts w:ascii="Times New Roman" w:eastAsia="Times New Roman" w:hAnsi="Times New Roman" w:cs="Times New Roman"/>
          <w:color w:val="000000"/>
          <w:lang w:eastAsia="fr-FR"/>
        </w:rPr>
        <w:t>ariés (Basher Rubel &amp; Kee, 2014 ;</w:t>
      </w:r>
      <w:r w:rsidRPr="000E33BF">
        <w:rPr>
          <w:rFonts w:ascii="Times New Roman" w:eastAsia="Times New Roman" w:hAnsi="Times New Roman" w:cs="Times New Roman"/>
          <w:color w:val="000000"/>
          <w:lang w:eastAsia="fr-FR"/>
        </w:rPr>
        <w:t xml:space="preserve"> Warr, 2005). Pour d’autres, la performance serait plutôt une condition pour que l’organisation puisse consacrer des ressources à l’amél</w:t>
      </w:r>
      <w:r w:rsidR="00A045ED">
        <w:rPr>
          <w:rFonts w:ascii="Times New Roman" w:eastAsia="Times New Roman" w:hAnsi="Times New Roman" w:cs="Times New Roman"/>
          <w:color w:val="000000"/>
          <w:lang w:eastAsia="fr-FR"/>
        </w:rPr>
        <w:t>ioration de la QVT (Baron, 2011 ;</w:t>
      </w:r>
      <w:r w:rsidRPr="000E33BF">
        <w:rPr>
          <w:rFonts w:ascii="Times New Roman" w:eastAsia="Times New Roman" w:hAnsi="Times New Roman" w:cs="Times New Roman"/>
          <w:color w:val="000000"/>
          <w:lang w:eastAsia="fr-FR"/>
        </w:rPr>
        <w:t xml:space="preserve"> Collins, 2001).</w:t>
      </w:r>
    </w:p>
    <w:p w14:paraId="088DEE7B" w14:textId="2FA82355" w:rsidR="0027107C" w:rsidRPr="000E33BF" w:rsidRDefault="00742460"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Le tableau suivant résume</w:t>
      </w:r>
      <w:r w:rsidR="0027107C" w:rsidRPr="000E33BF">
        <w:rPr>
          <w:rFonts w:ascii="Times New Roman" w:eastAsia="Times New Roman" w:hAnsi="Times New Roman" w:cs="Times New Roman"/>
          <w:color w:val="000000"/>
          <w:lang w:eastAsia="fr-FR"/>
        </w:rPr>
        <w:t xml:space="preserve"> les principales définitions de la </w:t>
      </w:r>
      <w:r w:rsidR="00A2028C">
        <w:rPr>
          <w:rFonts w:ascii="Times New Roman" w:eastAsia="Times New Roman" w:hAnsi="Times New Roman" w:cs="Times New Roman"/>
          <w:color w:val="000000"/>
          <w:lang w:eastAsia="fr-FR"/>
        </w:rPr>
        <w:t>QVT.</w:t>
      </w:r>
    </w:p>
    <w:p w14:paraId="4802941D" w14:textId="77777777" w:rsidR="0027107C" w:rsidRPr="000E33BF" w:rsidRDefault="0027107C" w:rsidP="00DC1997">
      <w:pPr>
        <w:spacing w:before="120"/>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7671"/>
        <w:gridCol w:w="1375"/>
      </w:tblGrid>
      <w:tr w:rsidR="0027107C" w:rsidRPr="000E33BF" w14:paraId="68CC5173"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8F58D"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un « </w:t>
            </w:r>
            <w:r w:rsidR="0027107C" w:rsidRPr="000E33BF">
              <w:rPr>
                <w:rFonts w:ascii="Times New Roman" w:eastAsia="Times New Roman" w:hAnsi="Times New Roman" w:cs="Times New Roman"/>
                <w:color w:val="000000"/>
                <w:sz w:val="20"/>
                <w:szCs w:val="20"/>
                <w:lang w:eastAsia="fr-FR"/>
              </w:rPr>
              <w:t>environnement qui associe 1.</w:t>
            </w:r>
            <w:r w:rsidRPr="000E33BF">
              <w:rPr>
                <w:rFonts w:ascii="Times New Roman" w:eastAsia="Times New Roman" w:hAnsi="Times New Roman" w:cs="Times New Roman"/>
                <w:color w:val="000000"/>
                <w:sz w:val="20"/>
                <w:szCs w:val="20"/>
                <w:lang w:eastAsia="fr-FR"/>
              </w:rPr>
              <w:t xml:space="preserve"> </w:t>
            </w:r>
            <w:r w:rsidR="0027107C" w:rsidRPr="000E33BF">
              <w:rPr>
                <w:rFonts w:ascii="Times New Roman" w:eastAsia="Times New Roman" w:hAnsi="Times New Roman" w:cs="Times New Roman"/>
                <w:color w:val="000000"/>
                <w:sz w:val="20"/>
                <w:szCs w:val="20"/>
                <w:lang w:eastAsia="fr-FR"/>
              </w:rPr>
              <w:t>une rémunération adéquate et juste, 2. des conditions de travail sûres et saines, 3. une opportunité immédiate d’utiliser et de développer les capacités humaines, 4. une opportunité pour la croissance continue et la sécurité, 5. une intégration sociale à l’organisation du travail, 6. le constitutionnalisme de l’organisation du travail, 7. un espace de travail et de vie et 8. la pertinence sociale de l</w:t>
            </w:r>
            <w:r w:rsidRPr="000E33BF">
              <w:rPr>
                <w:rFonts w:ascii="Times New Roman" w:eastAsia="Times New Roman" w:hAnsi="Times New Roman" w:cs="Times New Roman"/>
                <w:color w:val="000000"/>
                <w:sz w:val="20"/>
                <w:szCs w:val="20"/>
                <w:lang w:eastAsia="fr-FR"/>
              </w:rPr>
              <w:t>a vie professionnelle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0F3F8"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Walton, 1973</w:t>
            </w:r>
          </w:p>
        </w:tc>
      </w:tr>
      <w:tr w:rsidR="0027107C" w:rsidRPr="000E33BF" w14:paraId="12A1ABEA"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D9940"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assimilée à la satisfaction des employés avec les salaires, les horair</w:t>
            </w:r>
            <w:r w:rsidR="00742460" w:rsidRPr="000E33BF">
              <w:rPr>
                <w:rFonts w:ascii="Times New Roman" w:eastAsia="Times New Roman" w:hAnsi="Times New Roman" w:cs="Times New Roman"/>
                <w:color w:val="000000"/>
                <w:sz w:val="20"/>
                <w:szCs w:val="20"/>
                <w:lang w:eastAsia="fr-FR"/>
              </w:rPr>
              <w:t>es et les conditions de travail.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CD203"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Taylor, 1974</w:t>
            </w:r>
          </w:p>
        </w:tc>
      </w:tr>
      <w:tr w:rsidR="0027107C" w:rsidRPr="000E33BF" w14:paraId="5F82F413"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CE189"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lastRenderedPageBreak/>
              <w:t>La QVT est un « </w:t>
            </w:r>
            <w:r w:rsidR="0027107C" w:rsidRPr="000E33BF">
              <w:rPr>
                <w:rFonts w:ascii="Times New Roman" w:eastAsia="Times New Roman" w:hAnsi="Times New Roman" w:cs="Times New Roman"/>
                <w:color w:val="000000"/>
                <w:sz w:val="20"/>
                <w:szCs w:val="20"/>
                <w:lang w:eastAsia="fr-FR"/>
              </w:rPr>
              <w:t>construit qui articule sécurité, équi</w:t>
            </w:r>
            <w:r w:rsidRPr="000E33BF">
              <w:rPr>
                <w:rFonts w:ascii="Times New Roman" w:eastAsia="Times New Roman" w:hAnsi="Times New Roman" w:cs="Times New Roman"/>
                <w:color w:val="000000"/>
                <w:sz w:val="20"/>
                <w:szCs w:val="20"/>
                <w:lang w:eastAsia="fr-FR"/>
              </w:rPr>
              <w:t>té, individuation et démocratie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52115"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Westley, 1979</w:t>
            </w:r>
          </w:p>
        </w:tc>
      </w:tr>
      <w:tr w:rsidR="0027107C" w:rsidRPr="000E33BF" w14:paraId="4E7ED33C"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A67C0"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Le cadre systématique pour la QVT comprend cinq composants : 1.</w:t>
            </w:r>
            <w:r w:rsidR="00742460" w:rsidRPr="000E33BF">
              <w:rPr>
                <w:rFonts w:ascii="Times New Roman" w:eastAsia="Times New Roman" w:hAnsi="Times New Roman" w:cs="Times New Roman"/>
                <w:color w:val="000000"/>
                <w:sz w:val="20"/>
                <w:szCs w:val="20"/>
                <w:lang w:eastAsia="fr-FR"/>
              </w:rPr>
              <w:t xml:space="preserve"> </w:t>
            </w:r>
            <w:r w:rsidRPr="000E33BF">
              <w:rPr>
                <w:rFonts w:ascii="Times New Roman" w:eastAsia="Times New Roman" w:hAnsi="Times New Roman" w:cs="Times New Roman"/>
                <w:color w:val="000000"/>
                <w:sz w:val="20"/>
                <w:szCs w:val="20"/>
                <w:lang w:eastAsia="fr-FR"/>
              </w:rPr>
              <w:t>l’accès au travail, 2. le contexte de travail (nature du travail, salaire, horaires, conditions physiques de travail, technologie, structure organisationnelle, opportunités de carrière), 3. les perceptions, attitudes et réponses (satisfaction au travail, motivation, absentéisme, turnover…), 4. les acteurs et leurs relations (les syndicats, le dialogue social, la législation du travail), 5. la mesure (le niveau d’observation et de mesure, le type de données utilisées quantitatives ou qualitatives, la méthodologie d’analyse)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B0B56"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Keith, Leckie, Pettman, 1979</w:t>
            </w:r>
          </w:p>
        </w:tc>
      </w:tr>
      <w:tr w:rsidR="0027107C" w:rsidRPr="000E33BF" w14:paraId="5E031ED0"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A7B56"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définie en termes de caractéristiques d’emploi et de co</w:t>
            </w:r>
            <w:r w:rsidR="00742460" w:rsidRPr="000E33BF">
              <w:rPr>
                <w:rFonts w:ascii="Times New Roman" w:eastAsia="Times New Roman" w:hAnsi="Times New Roman" w:cs="Times New Roman"/>
                <w:color w:val="000000"/>
                <w:sz w:val="20"/>
                <w:szCs w:val="20"/>
                <w:lang w:eastAsia="fr-FR"/>
              </w:rPr>
              <w:t>nditions de travail avec comme « </w:t>
            </w:r>
            <w:r w:rsidRPr="000E33BF">
              <w:rPr>
                <w:rFonts w:ascii="Times New Roman" w:eastAsia="Times New Roman" w:hAnsi="Times New Roman" w:cs="Times New Roman"/>
                <w:color w:val="000000"/>
                <w:sz w:val="20"/>
                <w:szCs w:val="20"/>
                <w:lang w:eastAsia="fr-FR"/>
              </w:rPr>
              <w:t xml:space="preserve">dimension centrale l’amélioration du bien-être et </w:t>
            </w:r>
            <w:r w:rsidR="00742460" w:rsidRPr="000E33BF">
              <w:rPr>
                <w:rFonts w:ascii="Times New Roman" w:eastAsia="Times New Roman" w:hAnsi="Times New Roman" w:cs="Times New Roman"/>
                <w:color w:val="000000"/>
                <w:sz w:val="20"/>
                <w:szCs w:val="20"/>
                <w:lang w:eastAsia="fr-FR"/>
              </w:rPr>
              <w:t>de la productivité des employés »</w:t>
            </w:r>
            <w:r w:rsidRPr="000E33BF">
              <w:rPr>
                <w:rFonts w:ascii="Times New Roman" w:eastAsia="Times New Roman" w:hAnsi="Times New Roman" w:cs="Times New Roman"/>
                <w:color w:val="000000"/>
                <w:sz w:val="20"/>
                <w:szCs w:val="20"/>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A8A93"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Lawler, 1982</w:t>
            </w:r>
          </w:p>
        </w:tc>
      </w:tr>
      <w:tr w:rsidR="0027107C" w:rsidRPr="000E33BF" w14:paraId="5892066E"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2039B"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 </w:t>
            </w:r>
            <w:r w:rsidR="0027107C" w:rsidRPr="000E33BF">
              <w:rPr>
                <w:rFonts w:ascii="Times New Roman" w:eastAsia="Times New Roman" w:hAnsi="Times New Roman" w:cs="Times New Roman"/>
                <w:color w:val="000000"/>
                <w:sz w:val="20"/>
                <w:szCs w:val="20"/>
                <w:lang w:eastAsia="fr-FR"/>
              </w:rPr>
              <w:t>une relation économique, sociale et psychologique entre une organisation et ses employés qui comprend 1. un environnement de travail sécurisé, 2. des salaires équitables, 3. des chances égales d'emploi et 4</w:t>
            </w:r>
            <w:r w:rsidRPr="000E33BF">
              <w:rPr>
                <w:rFonts w:ascii="Times New Roman" w:eastAsia="Times New Roman" w:hAnsi="Times New Roman" w:cs="Times New Roman"/>
                <w:color w:val="000000"/>
                <w:sz w:val="20"/>
                <w:szCs w:val="20"/>
                <w:lang w:eastAsia="fr-FR"/>
              </w:rPr>
              <w:t>. des opportunités d'avancement »</w:t>
            </w:r>
            <w:r w:rsidR="0027107C" w:rsidRPr="000E33BF">
              <w:rPr>
                <w:rFonts w:ascii="Times New Roman" w:eastAsia="Times New Roman" w:hAnsi="Times New Roman" w:cs="Times New Roman"/>
                <w:color w:val="000000"/>
                <w:sz w:val="20"/>
                <w:szCs w:val="20"/>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11652"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Mirvis &amp; Lawler III, 1984</w:t>
            </w:r>
          </w:p>
        </w:tc>
      </w:tr>
      <w:tr w:rsidR="0027107C" w:rsidRPr="000E33BF" w14:paraId="51CAF24A"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D7E1A"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définie comme « </w:t>
            </w:r>
            <w:r w:rsidR="0027107C" w:rsidRPr="000E33BF">
              <w:rPr>
                <w:rFonts w:ascii="Times New Roman" w:eastAsia="Times New Roman" w:hAnsi="Times New Roman" w:cs="Times New Roman"/>
                <w:color w:val="000000"/>
                <w:sz w:val="20"/>
                <w:szCs w:val="20"/>
                <w:lang w:eastAsia="fr-FR"/>
              </w:rPr>
              <w:t xml:space="preserve">un processus par lequel une organisation répond aux besoins des employés en développant des mécanismes leur permettant de participer pleinement à la prise des décisions qui </w:t>
            </w:r>
            <w:r w:rsidRPr="000E33BF">
              <w:rPr>
                <w:rFonts w:ascii="Times New Roman" w:eastAsia="Times New Roman" w:hAnsi="Times New Roman" w:cs="Times New Roman"/>
                <w:color w:val="000000"/>
                <w:sz w:val="20"/>
                <w:szCs w:val="20"/>
                <w:lang w:eastAsia="fr-FR"/>
              </w:rPr>
              <w:t>structurent leur vie au travail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AAFA"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Robbins, 1989</w:t>
            </w:r>
          </w:p>
        </w:tc>
      </w:tr>
      <w:tr w:rsidR="0027107C" w:rsidRPr="000E33BF" w14:paraId="523C4961"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DE6EF"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consiste en  un « </w:t>
            </w:r>
            <w:r w:rsidR="0027107C" w:rsidRPr="000E33BF">
              <w:rPr>
                <w:rFonts w:ascii="Times New Roman" w:eastAsia="Times New Roman" w:hAnsi="Times New Roman" w:cs="Times New Roman"/>
                <w:color w:val="000000"/>
                <w:sz w:val="20"/>
                <w:szCs w:val="20"/>
                <w:lang w:eastAsia="fr-FR"/>
              </w:rPr>
              <w:t>environnement de travail favorable pour les membres de l’organisation, qui est à la fois un objectif pour l’organisation et un processus impliquant la participation activ</w:t>
            </w:r>
            <w:r w:rsidRPr="000E33BF">
              <w:rPr>
                <w:rFonts w:ascii="Times New Roman" w:eastAsia="Times New Roman" w:hAnsi="Times New Roman" w:cs="Times New Roman"/>
                <w:color w:val="000000"/>
                <w:sz w:val="20"/>
                <w:szCs w:val="20"/>
                <w:lang w:eastAsia="fr-FR"/>
              </w:rPr>
              <w:t>e des membres de l’organisation »</w:t>
            </w:r>
            <w:r w:rsidR="0027107C" w:rsidRPr="000E33BF">
              <w:rPr>
                <w:rFonts w:ascii="Times New Roman" w:eastAsia="Times New Roman" w:hAnsi="Times New Roman" w:cs="Times New Roman"/>
                <w:color w:val="000000"/>
                <w:sz w:val="20"/>
                <w:szCs w:val="20"/>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147CD"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Howard, 1993</w:t>
            </w:r>
          </w:p>
        </w:tc>
      </w:tr>
      <w:tr w:rsidR="0027107C" w:rsidRPr="000E33BF" w14:paraId="55E6384D"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7FA22"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définie en tant que « </w:t>
            </w:r>
            <w:r w:rsidR="0027107C" w:rsidRPr="000E33BF">
              <w:rPr>
                <w:rFonts w:ascii="Times New Roman" w:eastAsia="Times New Roman" w:hAnsi="Times New Roman" w:cs="Times New Roman"/>
                <w:color w:val="000000"/>
                <w:sz w:val="20"/>
                <w:szCs w:val="20"/>
                <w:lang w:eastAsia="fr-FR"/>
              </w:rPr>
              <w:t>conditions et environnements favorables d'un lieu de travail qui favorisent la satisfaction des employés en leur offrant des récompenses, une sécurité d'emploi et de</w:t>
            </w:r>
            <w:r w:rsidRPr="000E33BF">
              <w:rPr>
                <w:rFonts w:ascii="Times New Roman" w:eastAsia="Times New Roman" w:hAnsi="Times New Roman" w:cs="Times New Roman"/>
                <w:color w:val="000000"/>
                <w:sz w:val="20"/>
                <w:szCs w:val="20"/>
                <w:lang w:eastAsia="fr-FR"/>
              </w:rPr>
              <w:t>s opportunités de croissance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3D9C6"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Lau &amp; Bruce, 1998</w:t>
            </w:r>
          </w:p>
        </w:tc>
      </w:tr>
      <w:tr w:rsidR="0027107C" w:rsidRPr="000E33BF" w14:paraId="19D5CC41"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AC4BA"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un construit à quatre</w:t>
            </w:r>
            <w:r w:rsidR="0027107C" w:rsidRPr="000E33BF">
              <w:rPr>
                <w:rFonts w:ascii="Times New Roman" w:eastAsia="Times New Roman" w:hAnsi="Times New Roman" w:cs="Times New Roman"/>
                <w:color w:val="000000"/>
                <w:sz w:val="20"/>
                <w:szCs w:val="20"/>
                <w:lang w:eastAsia="fr-FR"/>
              </w:rPr>
              <w:t xml:space="preserve"> dimensions comprenant 1.</w:t>
            </w:r>
            <w:r w:rsidRPr="000E33BF">
              <w:rPr>
                <w:rFonts w:ascii="Times New Roman" w:eastAsia="Times New Roman" w:hAnsi="Times New Roman" w:cs="Times New Roman"/>
                <w:color w:val="000000"/>
                <w:sz w:val="20"/>
                <w:szCs w:val="20"/>
                <w:lang w:eastAsia="fr-FR"/>
              </w:rPr>
              <w:t xml:space="preserve"> </w:t>
            </w:r>
            <w:r w:rsidR="0027107C" w:rsidRPr="000E33BF">
              <w:rPr>
                <w:rFonts w:ascii="Times New Roman" w:eastAsia="Times New Roman" w:hAnsi="Times New Roman" w:cs="Times New Roman"/>
                <w:color w:val="000000"/>
                <w:sz w:val="20"/>
                <w:szCs w:val="20"/>
                <w:lang w:eastAsia="fr-FR"/>
              </w:rPr>
              <w:t>un environnement de travail favorable, 2.</w:t>
            </w:r>
            <w:r w:rsidRPr="000E33BF">
              <w:rPr>
                <w:rFonts w:ascii="Times New Roman" w:eastAsia="Times New Roman" w:hAnsi="Times New Roman" w:cs="Times New Roman"/>
                <w:color w:val="000000"/>
                <w:sz w:val="20"/>
                <w:szCs w:val="20"/>
                <w:lang w:eastAsia="fr-FR"/>
              </w:rPr>
              <w:t xml:space="preserve"> </w:t>
            </w:r>
            <w:r w:rsidR="0027107C" w:rsidRPr="000E33BF">
              <w:rPr>
                <w:rFonts w:ascii="Times New Roman" w:eastAsia="Times New Roman" w:hAnsi="Times New Roman" w:cs="Times New Roman"/>
                <w:color w:val="000000"/>
                <w:sz w:val="20"/>
                <w:szCs w:val="20"/>
                <w:lang w:eastAsia="fr-FR"/>
              </w:rPr>
              <w:t>la croissance personnelle et l’autonomie, 3.</w:t>
            </w:r>
            <w:r w:rsidRPr="000E33BF">
              <w:rPr>
                <w:rFonts w:ascii="Times New Roman" w:eastAsia="Times New Roman" w:hAnsi="Times New Roman" w:cs="Times New Roman"/>
                <w:color w:val="000000"/>
                <w:sz w:val="20"/>
                <w:szCs w:val="20"/>
                <w:lang w:eastAsia="fr-FR"/>
              </w:rPr>
              <w:t xml:space="preserve"> </w:t>
            </w:r>
            <w:r w:rsidR="0027107C" w:rsidRPr="000E33BF">
              <w:rPr>
                <w:rFonts w:ascii="Times New Roman" w:eastAsia="Times New Roman" w:hAnsi="Times New Roman" w:cs="Times New Roman"/>
                <w:color w:val="000000"/>
                <w:sz w:val="20"/>
                <w:szCs w:val="20"/>
                <w:lang w:eastAsia="fr-FR"/>
              </w:rPr>
              <w:t>la nature du travail, et 4.</w:t>
            </w:r>
            <w:r w:rsidRPr="000E33BF">
              <w:rPr>
                <w:rFonts w:ascii="Times New Roman" w:eastAsia="Times New Roman" w:hAnsi="Times New Roman" w:cs="Times New Roman"/>
                <w:color w:val="000000"/>
                <w:sz w:val="20"/>
                <w:szCs w:val="20"/>
                <w:lang w:eastAsia="fr-FR"/>
              </w:rPr>
              <w:t xml:space="preserve"> </w:t>
            </w:r>
            <w:r w:rsidR="0027107C" w:rsidRPr="000E33BF">
              <w:rPr>
                <w:rFonts w:ascii="Times New Roman" w:eastAsia="Times New Roman" w:hAnsi="Times New Roman" w:cs="Times New Roman"/>
                <w:color w:val="000000"/>
                <w:sz w:val="20"/>
                <w:szCs w:val="20"/>
                <w:lang w:eastAsia="fr-FR"/>
              </w:rPr>
              <w:t>la stimulation des opportunités et des collègues</w:t>
            </w:r>
            <w:r w:rsidRPr="000E33BF">
              <w:rPr>
                <w:rFonts w:ascii="Times New Roman" w:eastAsia="Times New Roman" w:hAnsi="Times New Roman" w:cs="Times New Roman"/>
                <w:color w:val="000000"/>
                <w:sz w:val="20"/>
                <w:szCs w:val="20"/>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9FCD8"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Wiatt &amp; Wah, 2001</w:t>
            </w:r>
          </w:p>
        </w:tc>
      </w:tr>
      <w:tr w:rsidR="0027107C" w:rsidRPr="000E33BF" w14:paraId="376DFEA3"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8EAA" w14:textId="77777777" w:rsidR="0027107C" w:rsidRPr="000E33BF" w:rsidRDefault="00742460"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caractérisée par « </w:t>
            </w:r>
            <w:r w:rsidR="0027107C" w:rsidRPr="000E33BF">
              <w:rPr>
                <w:rFonts w:ascii="Times New Roman" w:eastAsia="Times New Roman" w:hAnsi="Times New Roman" w:cs="Times New Roman"/>
                <w:color w:val="000000"/>
                <w:sz w:val="20"/>
                <w:szCs w:val="20"/>
                <w:lang w:eastAsia="fr-FR"/>
              </w:rPr>
              <w:t xml:space="preserve">la prise en compte des enjeux de la vie personnelle des </w:t>
            </w:r>
            <w:r w:rsidR="007105C6" w:rsidRPr="000E33BF">
              <w:rPr>
                <w:rFonts w:ascii="Times New Roman" w:eastAsia="Times New Roman" w:hAnsi="Times New Roman" w:cs="Times New Roman"/>
                <w:color w:val="000000"/>
                <w:sz w:val="20"/>
                <w:szCs w:val="20"/>
                <w:lang w:eastAsia="fr-FR"/>
              </w:rPr>
              <w:t>salariés</w:t>
            </w:r>
            <w:r w:rsidR="0027107C" w:rsidRPr="000E33BF">
              <w:rPr>
                <w:rFonts w:ascii="Times New Roman" w:eastAsia="Times New Roman" w:hAnsi="Times New Roman" w:cs="Times New Roman"/>
                <w:color w:val="000000"/>
                <w:sz w:val="20"/>
                <w:szCs w:val="20"/>
                <w:lang w:eastAsia="fr-FR"/>
              </w:rPr>
              <w:t xml:space="preserve"> par les dirigeants des entreprises à̀ tous les niveaux, par les partenaires sociaux et pour ce qui concerne l’environnement de l’entreprise, par l’État et les </w:t>
            </w:r>
            <w:r w:rsidR="007105C6" w:rsidRPr="000E33BF">
              <w:rPr>
                <w:rFonts w:ascii="Times New Roman" w:eastAsia="Times New Roman" w:hAnsi="Times New Roman" w:cs="Times New Roman"/>
                <w:color w:val="000000"/>
                <w:sz w:val="20"/>
                <w:szCs w:val="20"/>
                <w:lang w:eastAsia="fr-FR"/>
              </w:rPr>
              <w:t>collectivités</w:t>
            </w:r>
            <w:r w:rsidR="0027107C" w:rsidRPr="000E33BF">
              <w:rPr>
                <w:rFonts w:ascii="Times New Roman" w:eastAsia="Times New Roman" w:hAnsi="Times New Roman" w:cs="Times New Roman"/>
                <w:color w:val="000000"/>
                <w:sz w:val="20"/>
                <w:szCs w:val="20"/>
                <w:lang w:eastAsia="fr-FR"/>
              </w:rPr>
              <w:t xml:space="preserve"> territoriales ;  et les modes d’implication des </w:t>
            </w:r>
            <w:r w:rsidR="007105C6" w:rsidRPr="000E33BF">
              <w:rPr>
                <w:rFonts w:ascii="Times New Roman" w:eastAsia="Times New Roman" w:hAnsi="Times New Roman" w:cs="Times New Roman"/>
                <w:color w:val="000000"/>
                <w:sz w:val="20"/>
                <w:szCs w:val="20"/>
                <w:lang w:eastAsia="fr-FR"/>
              </w:rPr>
              <w:t>salariés</w:t>
            </w:r>
            <w:r w:rsidR="0027107C" w:rsidRPr="000E33BF">
              <w:rPr>
                <w:rFonts w:ascii="Times New Roman" w:eastAsia="Times New Roman" w:hAnsi="Times New Roman" w:cs="Times New Roman"/>
                <w:color w:val="000000"/>
                <w:sz w:val="20"/>
                <w:szCs w:val="20"/>
                <w:lang w:eastAsia="fr-FR"/>
              </w:rPr>
              <w:t>, y compris de l’encadrement, favorisant l’expression des femmes et de</w:t>
            </w:r>
            <w:r w:rsidR="007105C6" w:rsidRPr="000E33BF">
              <w:rPr>
                <w:rFonts w:ascii="Times New Roman" w:eastAsia="Times New Roman" w:hAnsi="Times New Roman" w:cs="Times New Roman"/>
                <w:color w:val="000000"/>
                <w:sz w:val="20"/>
                <w:szCs w:val="20"/>
                <w:lang w:eastAsia="fr-FR"/>
              </w:rPr>
              <w:t>s hommes dans la vie au travail ». Elle inclut « </w:t>
            </w:r>
            <w:r w:rsidR="0027107C" w:rsidRPr="000E33BF">
              <w:rPr>
                <w:rFonts w:ascii="Times New Roman" w:eastAsia="Times New Roman" w:hAnsi="Times New Roman" w:cs="Times New Roman"/>
                <w:color w:val="000000"/>
                <w:sz w:val="20"/>
                <w:szCs w:val="20"/>
                <w:lang w:eastAsia="fr-FR"/>
              </w:rPr>
              <w:t>la qualité de l’information partagée au sein de l’entreprise, la qualité des relations sociales et de travail, la qualité du contenu du travail, la qualité de l’environnement physique, la qualité de l’organisation du travail, les possibilités de réalisation et de développement personnel, la possibilité de concilier vie pro</w:t>
            </w:r>
            <w:r w:rsidR="007105C6" w:rsidRPr="000E33BF">
              <w:rPr>
                <w:rFonts w:ascii="Times New Roman" w:eastAsia="Times New Roman" w:hAnsi="Times New Roman" w:cs="Times New Roman"/>
                <w:color w:val="000000"/>
                <w:sz w:val="20"/>
                <w:szCs w:val="20"/>
                <w:lang w:eastAsia="fr-FR"/>
              </w:rPr>
              <w:t>fessionnelle et vie personnelle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2DA50"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ANI, 2013</w:t>
            </w:r>
          </w:p>
        </w:tc>
      </w:tr>
      <w:tr w:rsidR="0027107C" w:rsidRPr="000E33BF" w14:paraId="48D5F455"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E8950" w14:textId="77777777" w:rsidR="0027107C" w:rsidRPr="000E33BF" w:rsidRDefault="006B20BE"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 </w:t>
            </w:r>
            <w:r w:rsidR="0027107C" w:rsidRPr="000E33BF">
              <w:rPr>
                <w:rFonts w:ascii="Times New Roman" w:eastAsia="Times New Roman" w:hAnsi="Times New Roman" w:cs="Times New Roman"/>
                <w:color w:val="000000"/>
                <w:sz w:val="20"/>
                <w:szCs w:val="20"/>
                <w:lang w:eastAsia="fr-FR"/>
              </w:rPr>
              <w:t xml:space="preserve">un environnement de travail dans lequel les employés peuvent travailler en coopération les uns avec les autres afin d'atteindre </w:t>
            </w:r>
            <w:r w:rsidRPr="000E33BF">
              <w:rPr>
                <w:rFonts w:ascii="Times New Roman" w:eastAsia="Times New Roman" w:hAnsi="Times New Roman" w:cs="Times New Roman"/>
                <w:color w:val="000000"/>
                <w:sz w:val="20"/>
                <w:szCs w:val="20"/>
                <w:lang w:eastAsia="fr-FR"/>
              </w:rPr>
              <w:t>les objectifs de l'organisation »</w:t>
            </w:r>
            <w:r w:rsidR="0027107C" w:rsidRPr="000E33BF">
              <w:rPr>
                <w:rFonts w:ascii="Times New Roman" w:eastAsia="Times New Roman" w:hAnsi="Times New Roman" w:cs="Times New Roman"/>
                <w:color w:val="000000"/>
                <w:sz w:val="20"/>
                <w:szCs w:val="20"/>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66A3A"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Ahmad, 2013</w:t>
            </w:r>
          </w:p>
        </w:tc>
      </w:tr>
      <w:tr w:rsidR="0027107C" w:rsidRPr="000E33BF" w14:paraId="52B5C1A5"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B42BC" w14:textId="77777777" w:rsidR="0027107C" w:rsidRPr="000E33BF" w:rsidRDefault="006B20BE"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La QVT est liée aux « </w:t>
            </w:r>
            <w:r w:rsidR="0027107C" w:rsidRPr="000E33BF">
              <w:rPr>
                <w:rFonts w:ascii="Times New Roman" w:eastAsia="Times New Roman" w:hAnsi="Times New Roman" w:cs="Times New Roman"/>
                <w:color w:val="000000"/>
                <w:sz w:val="20"/>
                <w:szCs w:val="20"/>
                <w:lang w:eastAsia="fr-FR"/>
              </w:rPr>
              <w:t xml:space="preserve">horaires de travail et aux salaires, aux indemnités, au milieu de travail et au développement de carrière, aux conditions de </w:t>
            </w:r>
            <w:r w:rsidRPr="000E33BF">
              <w:rPr>
                <w:rFonts w:ascii="Times New Roman" w:eastAsia="Times New Roman" w:hAnsi="Times New Roman" w:cs="Times New Roman"/>
                <w:color w:val="000000"/>
                <w:sz w:val="20"/>
                <w:szCs w:val="20"/>
                <w:lang w:eastAsia="fr-FR"/>
              </w:rPr>
              <w:t>travail, à l’éthique de travail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C08AD"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Narehan et al., 2014</w:t>
            </w:r>
          </w:p>
        </w:tc>
      </w:tr>
      <w:tr w:rsidR="0027107C" w:rsidRPr="000E33BF" w14:paraId="61AE6856" w14:textId="77777777" w:rsidTr="0027107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2A6E4"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 xml:space="preserve">La QVT est constituée de pratiques de GRH favorisant le bien-être au travail dans </w:t>
            </w:r>
            <w:r w:rsidR="006B20BE" w:rsidRPr="000E33BF">
              <w:rPr>
                <w:rFonts w:ascii="Times New Roman" w:eastAsia="Times New Roman" w:hAnsi="Times New Roman" w:cs="Times New Roman"/>
                <w:color w:val="000000"/>
                <w:sz w:val="20"/>
                <w:szCs w:val="20"/>
                <w:lang w:eastAsia="fr-FR"/>
              </w:rPr>
              <w:t>quatre</w:t>
            </w:r>
            <w:r w:rsidRPr="000E33BF">
              <w:rPr>
                <w:rFonts w:ascii="Times New Roman" w:eastAsia="Times New Roman" w:hAnsi="Times New Roman" w:cs="Times New Roman"/>
                <w:color w:val="000000"/>
                <w:sz w:val="20"/>
                <w:szCs w:val="20"/>
                <w:lang w:eastAsia="fr-FR"/>
              </w:rPr>
              <w:t xml:space="preserve"> dimensions : le sens du travail, le lien social (qui comprend le soutien social et la reconnaissance), la qualité de l’activité et le confort des conditions de travail incluant la satisfaction des besoins fondamentaux permettant de réaliser l’activité dans le temps long sans épuisement des RH ni multiplication des pathologies psychosociales.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94B67" w14:textId="77777777" w:rsidR="0027107C" w:rsidRPr="000E33BF" w:rsidRDefault="0027107C" w:rsidP="00DC1997">
            <w:pPr>
              <w:spacing w:before="120"/>
              <w:rPr>
                <w:rFonts w:ascii="Times New Roman" w:eastAsia="Times New Roman" w:hAnsi="Times New Roman" w:cs="Times New Roman"/>
                <w:sz w:val="20"/>
                <w:szCs w:val="20"/>
                <w:lang w:eastAsia="fr-FR"/>
              </w:rPr>
            </w:pPr>
            <w:r w:rsidRPr="000E33BF">
              <w:rPr>
                <w:rFonts w:ascii="Times New Roman" w:eastAsia="Times New Roman" w:hAnsi="Times New Roman" w:cs="Times New Roman"/>
                <w:color w:val="000000"/>
                <w:sz w:val="20"/>
                <w:szCs w:val="20"/>
                <w:lang w:eastAsia="fr-FR"/>
              </w:rPr>
              <w:t>Abord de Chatillon et Richard, 2015</w:t>
            </w:r>
          </w:p>
        </w:tc>
      </w:tr>
    </w:tbl>
    <w:p w14:paraId="7AE594BD" w14:textId="77777777" w:rsidR="0027107C" w:rsidRPr="000E33BF" w:rsidRDefault="0027107C" w:rsidP="00DC1997">
      <w:pPr>
        <w:spacing w:before="120"/>
        <w:rPr>
          <w:rFonts w:ascii="Times New Roman" w:eastAsia="Times New Roman" w:hAnsi="Times New Roman" w:cs="Times New Roman"/>
          <w:lang w:eastAsia="fr-FR"/>
        </w:rPr>
      </w:pPr>
    </w:p>
    <w:p w14:paraId="54880D45" w14:textId="77777777"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On constate </w:t>
      </w:r>
      <w:r w:rsidR="006B20BE" w:rsidRPr="000E33BF">
        <w:rPr>
          <w:rFonts w:ascii="Times New Roman" w:eastAsia="Times New Roman" w:hAnsi="Times New Roman" w:cs="Times New Roman"/>
          <w:color w:val="000000"/>
          <w:lang w:eastAsia="fr-FR"/>
        </w:rPr>
        <w:t>au-delà</w:t>
      </w:r>
      <w:r w:rsidRPr="000E33BF">
        <w:rPr>
          <w:rFonts w:ascii="Times New Roman" w:eastAsia="Times New Roman" w:hAnsi="Times New Roman" w:cs="Times New Roman"/>
          <w:color w:val="000000"/>
          <w:lang w:eastAsia="fr-FR"/>
        </w:rPr>
        <w:t xml:space="preserve"> d’une grande diversité et hétérogénéité des définitions le fait qu’elles sont peu reliées à des pratiques de GRH et constituent souvent un patchwork de caractéristiques à la fois subjectives et individuelles (ex : satisfaction), objectives (ex : absentéisme), et collectives (ex : qualité des relations de coopération).</w:t>
      </w:r>
    </w:p>
    <w:p w14:paraId="0271FE97" w14:textId="50689549"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La définition que nous retiendrons pour cette recherche est celle de Ahmad (2013) pour sa simplicité et l’importance qu’elle accor</w:t>
      </w:r>
      <w:r w:rsidR="006B20BE" w:rsidRPr="000E33BF">
        <w:rPr>
          <w:rFonts w:ascii="Times New Roman" w:eastAsia="Times New Roman" w:hAnsi="Times New Roman" w:cs="Times New Roman"/>
          <w:color w:val="000000"/>
          <w:lang w:eastAsia="fr-FR"/>
        </w:rPr>
        <w:t>de à la dimension collective : «</w:t>
      </w:r>
      <w:r w:rsidR="006B20BE" w:rsidRPr="00A2028C">
        <w:rPr>
          <w:rFonts w:ascii="Times New Roman" w:eastAsia="Times New Roman" w:hAnsi="Times New Roman" w:cs="Times New Roman"/>
          <w:b/>
          <w:i/>
          <w:color w:val="000000"/>
          <w:lang w:eastAsia="fr-FR"/>
        </w:rPr>
        <w:t> </w:t>
      </w:r>
      <w:r w:rsidRPr="00A2028C">
        <w:rPr>
          <w:rFonts w:ascii="Times New Roman" w:eastAsia="Times New Roman" w:hAnsi="Times New Roman" w:cs="Times New Roman"/>
          <w:b/>
          <w:i/>
          <w:color w:val="000000"/>
          <w:lang w:eastAsia="fr-FR"/>
        </w:rPr>
        <w:t xml:space="preserve">un environnement de travail dans lequel les employés peuvent travailler en coopération les uns avec les autres afin d'atteindre </w:t>
      </w:r>
      <w:r w:rsidR="006B20BE" w:rsidRPr="00A2028C">
        <w:rPr>
          <w:rFonts w:ascii="Times New Roman" w:eastAsia="Times New Roman" w:hAnsi="Times New Roman" w:cs="Times New Roman"/>
          <w:b/>
          <w:i/>
          <w:color w:val="000000"/>
          <w:lang w:eastAsia="fr-FR"/>
        </w:rPr>
        <w:t>les objectifs de l'organisation </w:t>
      </w:r>
      <w:r w:rsidR="006B20BE" w:rsidRPr="000E33BF">
        <w:rPr>
          <w:rFonts w:ascii="Times New Roman" w:eastAsia="Times New Roman" w:hAnsi="Times New Roman" w:cs="Times New Roman"/>
          <w:color w:val="000000"/>
          <w:lang w:eastAsia="fr-FR"/>
        </w:rPr>
        <w:t>»</w:t>
      </w:r>
      <w:r w:rsidRPr="000E33BF">
        <w:rPr>
          <w:rFonts w:ascii="Times New Roman" w:eastAsia="Times New Roman" w:hAnsi="Times New Roman" w:cs="Times New Roman"/>
          <w:color w:val="000000"/>
          <w:lang w:eastAsia="fr-FR"/>
        </w:rPr>
        <w:t xml:space="preserve"> (Ahmad, 2013, p. 74). Cette définition est suffisamment large et </w:t>
      </w:r>
      <w:r w:rsidR="00A2028C">
        <w:rPr>
          <w:rFonts w:ascii="Times New Roman" w:eastAsia="Times New Roman" w:hAnsi="Times New Roman" w:cs="Times New Roman"/>
          <w:color w:val="000000"/>
          <w:lang w:eastAsia="fr-FR"/>
        </w:rPr>
        <w:t>articule</w:t>
      </w:r>
      <w:r w:rsidRPr="000E33BF">
        <w:rPr>
          <w:rFonts w:ascii="Times New Roman" w:eastAsia="Times New Roman" w:hAnsi="Times New Roman" w:cs="Times New Roman"/>
          <w:color w:val="000000"/>
          <w:lang w:eastAsia="fr-FR"/>
        </w:rPr>
        <w:t xml:space="preserve"> les trois dimensions subjective, objecti</w:t>
      </w:r>
      <w:r w:rsidR="00A2028C">
        <w:rPr>
          <w:rFonts w:ascii="Times New Roman" w:eastAsia="Times New Roman" w:hAnsi="Times New Roman" w:cs="Times New Roman"/>
          <w:color w:val="000000"/>
          <w:lang w:eastAsia="fr-FR"/>
        </w:rPr>
        <w:t>ve et collective de l’activité telles que les définit Gomez (</w:t>
      </w:r>
      <w:r w:rsidRPr="000E33BF">
        <w:rPr>
          <w:rFonts w:ascii="Times New Roman" w:eastAsia="Times New Roman" w:hAnsi="Times New Roman" w:cs="Times New Roman"/>
          <w:color w:val="000000"/>
          <w:lang w:eastAsia="fr-FR"/>
        </w:rPr>
        <w:t>2013).</w:t>
      </w:r>
    </w:p>
    <w:p w14:paraId="6A409742" w14:textId="663B113A"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En France, </w:t>
      </w:r>
      <w:r w:rsidR="00A2028C">
        <w:rPr>
          <w:rFonts w:ascii="Times New Roman" w:eastAsia="Times New Roman" w:hAnsi="Times New Roman" w:cs="Times New Roman"/>
          <w:color w:val="000000"/>
          <w:lang w:eastAsia="fr-FR"/>
        </w:rPr>
        <w:t xml:space="preserve">même si le terme a été popularisé par l’ANACT dans les années quatre-vingt-dix, </w:t>
      </w:r>
      <w:r w:rsidRPr="000E33BF">
        <w:rPr>
          <w:rFonts w:ascii="Times New Roman" w:eastAsia="Times New Roman" w:hAnsi="Times New Roman" w:cs="Times New Roman"/>
          <w:color w:val="000000"/>
          <w:lang w:eastAsia="fr-FR"/>
        </w:rPr>
        <w:t xml:space="preserve">c’est à partir de 2013 que la QVT est traitée en tant que telle dans les textes </w:t>
      </w:r>
      <w:r w:rsidR="00A2028C">
        <w:rPr>
          <w:rFonts w:ascii="Times New Roman" w:eastAsia="Times New Roman" w:hAnsi="Times New Roman" w:cs="Times New Roman"/>
          <w:color w:val="000000"/>
          <w:lang w:eastAsia="fr-FR"/>
        </w:rPr>
        <w:t>réglementaires</w:t>
      </w:r>
      <w:r w:rsidRPr="000E33BF">
        <w:rPr>
          <w:rFonts w:ascii="Times New Roman" w:eastAsia="Times New Roman" w:hAnsi="Times New Roman" w:cs="Times New Roman"/>
          <w:color w:val="000000"/>
          <w:lang w:eastAsia="fr-FR"/>
        </w:rPr>
        <w:t xml:space="preserve">. </w:t>
      </w:r>
      <w:r w:rsidR="00A2028C">
        <w:rPr>
          <w:rFonts w:ascii="Times New Roman" w:eastAsia="Times New Roman" w:hAnsi="Times New Roman" w:cs="Times New Roman"/>
          <w:color w:val="000000"/>
          <w:lang w:eastAsia="fr-FR"/>
        </w:rPr>
        <w:t>L</w:t>
      </w:r>
      <w:r w:rsidRPr="000E33BF">
        <w:rPr>
          <w:rFonts w:ascii="Times New Roman" w:eastAsia="Times New Roman" w:hAnsi="Times New Roman" w:cs="Times New Roman"/>
          <w:color w:val="000000"/>
          <w:lang w:eastAsia="fr-FR"/>
        </w:rPr>
        <w:t xml:space="preserve">’Accord National Interprofessionnel (ANI) du 19 Juin 2013 « </w:t>
      </w:r>
      <w:r w:rsidRPr="00A2028C">
        <w:rPr>
          <w:rFonts w:ascii="Times New Roman" w:eastAsia="Times New Roman" w:hAnsi="Times New Roman" w:cs="Times New Roman"/>
          <w:i/>
          <w:color w:val="000000"/>
          <w:lang w:eastAsia="fr-FR"/>
        </w:rPr>
        <w:t>Vers une politique d’amélioration de la QVT et de l’égalité professionnelle</w:t>
      </w:r>
      <w:r w:rsidRPr="000E33BF">
        <w:rPr>
          <w:rFonts w:ascii="Times New Roman" w:eastAsia="Times New Roman" w:hAnsi="Times New Roman" w:cs="Times New Roman"/>
          <w:color w:val="000000"/>
          <w:lang w:eastAsia="fr-FR"/>
        </w:rPr>
        <w:t xml:space="preserve"> »</w:t>
      </w:r>
      <w:r w:rsidR="00F149E1">
        <w:rPr>
          <w:rFonts w:ascii="Times New Roman" w:eastAsia="Times New Roman" w:hAnsi="Times New Roman" w:cs="Times New Roman"/>
          <w:color w:val="000000"/>
          <w:lang w:eastAsia="fr-FR"/>
        </w:rPr>
        <w:t xml:space="preserve"> pose les bases d’une</w:t>
      </w:r>
      <w:r w:rsidR="00A2028C">
        <w:rPr>
          <w:rFonts w:ascii="Times New Roman" w:eastAsia="Times New Roman" w:hAnsi="Times New Roman" w:cs="Times New Roman"/>
          <w:color w:val="000000"/>
          <w:lang w:eastAsia="fr-FR"/>
        </w:rPr>
        <w:t xml:space="preserve"> compréhension opérationnelle du concept</w:t>
      </w:r>
      <w:r w:rsidRPr="000E33BF">
        <w:rPr>
          <w:rFonts w:ascii="Times New Roman" w:eastAsia="Times New Roman" w:hAnsi="Times New Roman" w:cs="Times New Roman"/>
          <w:color w:val="000000"/>
          <w:lang w:eastAsia="fr-FR"/>
        </w:rPr>
        <w:t xml:space="preserve">. Le préambule de l’accord stipule que « </w:t>
      </w:r>
      <w:r w:rsidRPr="00A2028C">
        <w:rPr>
          <w:rFonts w:ascii="Times New Roman" w:eastAsia="Times New Roman" w:hAnsi="Times New Roman" w:cs="Times New Roman"/>
          <w:i/>
          <w:color w:val="000000"/>
          <w:lang w:eastAsia="fr-FR"/>
        </w:rPr>
        <w:t>la qualité de vie au travail vise d’abord le travail, les conditions de</w:t>
      </w:r>
      <w:r w:rsidR="006B20BE" w:rsidRPr="00A2028C">
        <w:rPr>
          <w:rFonts w:ascii="Times New Roman" w:eastAsia="Times New Roman" w:hAnsi="Times New Roman" w:cs="Times New Roman"/>
          <w:i/>
          <w:color w:val="000000"/>
          <w:lang w:eastAsia="fr-FR"/>
        </w:rPr>
        <w:t xml:space="preserve"> travail et la possibilité de </w:t>
      </w:r>
      <w:r w:rsidR="006B20BE" w:rsidRPr="00A2028C">
        <w:rPr>
          <w:rFonts w:ascii="Times New Roman" w:eastAsia="Times New Roman" w:hAnsi="Times New Roman" w:cs="Times New Roman"/>
          <w:i/>
          <w:color w:val="000000"/>
          <w:lang w:eastAsia="fr-FR"/>
        </w:rPr>
        <w:sym w:font="Symbol" w:char="F0B2"/>
      </w:r>
      <w:r w:rsidR="006B20BE" w:rsidRPr="00A2028C">
        <w:rPr>
          <w:rFonts w:ascii="Times New Roman" w:eastAsia="Times New Roman" w:hAnsi="Times New Roman" w:cs="Times New Roman"/>
          <w:i/>
          <w:color w:val="000000"/>
          <w:lang w:eastAsia="fr-FR"/>
        </w:rPr>
        <w:t>faire du bon travail</w:t>
      </w:r>
      <w:r w:rsidR="006B20BE" w:rsidRPr="00A2028C">
        <w:rPr>
          <w:rFonts w:ascii="Times New Roman" w:eastAsia="Times New Roman" w:hAnsi="Times New Roman" w:cs="Times New Roman"/>
          <w:i/>
          <w:color w:val="000000"/>
          <w:lang w:eastAsia="fr-FR"/>
        </w:rPr>
        <w:sym w:font="Symbol" w:char="F0B2"/>
      </w:r>
      <w:r w:rsidRPr="00A2028C">
        <w:rPr>
          <w:rFonts w:ascii="Times New Roman" w:eastAsia="Times New Roman" w:hAnsi="Times New Roman" w:cs="Times New Roman"/>
          <w:i/>
          <w:color w:val="000000"/>
          <w:lang w:eastAsia="fr-FR"/>
        </w:rPr>
        <w:t xml:space="preserve"> dans une bonne ambiance, dans son organisation </w:t>
      </w:r>
      <w:r w:rsidRPr="000E33BF">
        <w:rPr>
          <w:rFonts w:ascii="Times New Roman" w:eastAsia="Times New Roman" w:hAnsi="Times New Roman" w:cs="Times New Roman"/>
          <w:color w:val="000000"/>
          <w:lang w:eastAsia="fr-FR"/>
        </w:rPr>
        <w:t>» (ANI, 2013), faisant ainsi écho aux travaux de Yves Clot pour lequel il n’y a pas de qualité de vie au travail sans qualité du travail,</w:t>
      </w:r>
      <w:r w:rsidR="006B20BE" w:rsidRPr="000E33BF">
        <w:rPr>
          <w:rFonts w:ascii="Times New Roman" w:eastAsia="Times New Roman" w:hAnsi="Times New Roman" w:cs="Times New Roman"/>
          <w:color w:val="000000"/>
          <w:lang w:eastAsia="fr-FR"/>
        </w:rPr>
        <w:t xml:space="preserve"> c’est-à-dire sans capacité de « bien faire son travail »</w:t>
      </w:r>
      <w:r w:rsidRPr="000E33BF">
        <w:rPr>
          <w:rFonts w:ascii="Times New Roman" w:eastAsia="Times New Roman" w:hAnsi="Times New Roman" w:cs="Times New Roman"/>
          <w:color w:val="000000"/>
          <w:lang w:eastAsia="fr-FR"/>
        </w:rPr>
        <w:t xml:space="preserve"> (Clot, 2010).</w:t>
      </w:r>
    </w:p>
    <w:p w14:paraId="4AF7A5DB" w14:textId="4B5FE918"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Si l’ANI suit une approche transversale et systémique souhaitée par les partenaires sociaux qui relie la qualité de vie au travail à la conciliation des temps de vie personnelle et professionnelle ainsi qu'à l'égalité professionnelle et au dialogue social, il reste que : « la notion de qualité de vie au travail renvoie à des éléments multiples, relatifs en partie à chacun des salariés mais également étroitement liés à des éléments objectifs qui structurent l’entreprise. Elle peut se concevoir comme un sentiment de bien-être au travail perçu collectivement et individuellement qui englobe l’ambiance, la culture de l’entreprise, l’intérêt du travail, les conditions de travail, le sentiment d’implication, le degré́ d’autonomie et de responsabilisation, l’égalité́, un droit à l’erreur accordé à chacun, une reconnaissance et une valorisation du travail effectué » (ANI, 2013). Cet extrait de l’ANI montre qu’un amalgame est fait par les autorités entre bien-être au travail et QVT et qu’aucune définition claire des deux notions n’est vraiment proposée si ce n’est pour les mettre en relation dans une relation de récursivité. La </w:t>
      </w:r>
      <w:r w:rsidR="006C4E2B" w:rsidRPr="000E33BF">
        <w:rPr>
          <w:rFonts w:ascii="Times New Roman" w:eastAsia="Times New Roman" w:hAnsi="Times New Roman" w:cs="Times New Roman"/>
          <w:color w:val="000000"/>
          <w:lang w:eastAsia="fr-FR"/>
        </w:rPr>
        <w:t>QVT pouvant se concevoir comme « </w:t>
      </w:r>
      <w:r w:rsidRPr="000E33BF">
        <w:rPr>
          <w:rFonts w:ascii="Times New Roman" w:eastAsia="Times New Roman" w:hAnsi="Times New Roman" w:cs="Times New Roman"/>
          <w:color w:val="000000"/>
          <w:lang w:eastAsia="fr-FR"/>
        </w:rPr>
        <w:t>un se</w:t>
      </w:r>
      <w:r w:rsidR="006C4E2B" w:rsidRPr="000E33BF">
        <w:rPr>
          <w:rFonts w:ascii="Times New Roman" w:eastAsia="Times New Roman" w:hAnsi="Times New Roman" w:cs="Times New Roman"/>
          <w:color w:val="000000"/>
          <w:lang w:eastAsia="fr-FR"/>
        </w:rPr>
        <w:t>ntiment de bien-être au travail »</w:t>
      </w:r>
      <w:r w:rsidRPr="000E33BF">
        <w:rPr>
          <w:rFonts w:ascii="Times New Roman" w:eastAsia="Times New Roman" w:hAnsi="Times New Roman" w:cs="Times New Roman"/>
          <w:color w:val="000000"/>
          <w:lang w:eastAsia="fr-FR"/>
        </w:rPr>
        <w:t xml:space="preserve"> recouvrant de multiples aspects du travail et de ses conditions. Ce qui en fait une définition à la fois très large sur le plan des pratiques qu’elle recouvre et peu structurée théoriquement. Elle présente aussi le défaut d’être de natur</w:t>
      </w:r>
      <w:r w:rsidR="006C4E2B" w:rsidRPr="000E33BF">
        <w:rPr>
          <w:rFonts w:ascii="Times New Roman" w:eastAsia="Times New Roman" w:hAnsi="Times New Roman" w:cs="Times New Roman"/>
          <w:color w:val="000000"/>
          <w:lang w:eastAsia="fr-FR"/>
        </w:rPr>
        <w:t>e tautologique : la QVT c’est… « </w:t>
      </w:r>
      <w:r w:rsidRPr="000E33BF">
        <w:rPr>
          <w:rFonts w:ascii="Times New Roman" w:eastAsia="Times New Roman" w:hAnsi="Times New Roman" w:cs="Times New Roman"/>
          <w:color w:val="000000"/>
          <w:lang w:eastAsia="fr-FR"/>
        </w:rPr>
        <w:t>un se</w:t>
      </w:r>
      <w:r w:rsidR="006C4E2B" w:rsidRPr="000E33BF">
        <w:rPr>
          <w:rFonts w:ascii="Times New Roman" w:eastAsia="Times New Roman" w:hAnsi="Times New Roman" w:cs="Times New Roman"/>
          <w:color w:val="000000"/>
          <w:lang w:eastAsia="fr-FR"/>
        </w:rPr>
        <w:t>ntiment de bien-être au travail »</w:t>
      </w:r>
      <w:r w:rsidR="00AC4ECF" w:rsidRPr="000E33BF">
        <w:rPr>
          <w:rFonts w:ascii="Times New Roman" w:eastAsia="Times New Roman" w:hAnsi="Times New Roman" w:cs="Times New Roman"/>
          <w:color w:val="000000"/>
          <w:lang w:eastAsia="fr-FR"/>
        </w:rPr>
        <w:t>.</w:t>
      </w:r>
    </w:p>
    <w:p w14:paraId="19A29C1A" w14:textId="35A27764"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La thématique de la QVT est devenue centrale ces dernières années et de plus en plus d’études soulignent qu’elle agit comme un vecteur de performance (Oswald et al., 2015</w:t>
      </w:r>
      <w:r w:rsidR="006C4E2B" w:rsidRPr="000E33BF">
        <w:rPr>
          <w:rFonts w:ascii="Times New Roman" w:eastAsia="Times New Roman" w:hAnsi="Times New Roman" w:cs="Times New Roman"/>
          <w:color w:val="000000"/>
          <w:lang w:eastAsia="fr-FR"/>
        </w:rPr>
        <w:t> ;</w:t>
      </w:r>
      <w:r w:rsidRPr="000E33BF">
        <w:rPr>
          <w:rFonts w:ascii="Times New Roman" w:eastAsia="Times New Roman" w:hAnsi="Times New Roman" w:cs="Times New Roman"/>
          <w:color w:val="000000"/>
          <w:lang w:eastAsia="fr-FR"/>
        </w:rPr>
        <w:t xml:space="preserve"> Shen et al., 2014). Pour autant, la littérature n'a pas établi de lien direct et univoque entre pratiques de GRH et QVT (Van De Voorde et al., 2012). Parfois les pratiques de QVT sont considérées comme des outils visant à répondre à des situations de stress, d'épuisement </w:t>
      </w:r>
      <w:r w:rsidRPr="000E33BF">
        <w:rPr>
          <w:rFonts w:ascii="Times New Roman" w:eastAsia="Times New Roman" w:hAnsi="Times New Roman" w:cs="Times New Roman"/>
          <w:color w:val="000000"/>
          <w:lang w:eastAsia="fr-FR"/>
        </w:rPr>
        <w:lastRenderedPageBreak/>
        <w:t xml:space="preserve">émotionnel et de méfiance vis-à-vis de l’organisation (Conway et al., 2016). D’autres enquêtes mettent en évidence les effets positifs des pratiques de QVT sur le bien-être au travail, du fait qu’ils privilégient la logique d’apprentissage (Moynihan </w:t>
      </w:r>
      <w:r w:rsidR="00AC4ECF" w:rsidRPr="000E33BF">
        <w:rPr>
          <w:rFonts w:ascii="Times New Roman" w:eastAsia="Times New Roman" w:hAnsi="Times New Roman" w:cs="Times New Roman"/>
          <w:color w:val="000000"/>
          <w:lang w:eastAsia="fr-FR"/>
        </w:rPr>
        <w:t>&amp;</w:t>
      </w:r>
      <w:r w:rsidRPr="000E33BF">
        <w:rPr>
          <w:rFonts w:ascii="Times New Roman" w:eastAsia="Times New Roman" w:hAnsi="Times New Roman" w:cs="Times New Roman"/>
          <w:color w:val="000000"/>
          <w:lang w:eastAsia="fr-FR"/>
        </w:rPr>
        <w:t xml:space="preserve"> Landuyt, 2009), valorisent l’autonomie des acteurs (Rainey, 2009) et permettent à ces derniers d’être récompensés pour leurs efforts par le biais de systèmes de gratification indi</w:t>
      </w:r>
      <w:r w:rsidR="006C4E2B" w:rsidRPr="000E33BF">
        <w:rPr>
          <w:rFonts w:ascii="Times New Roman" w:eastAsia="Times New Roman" w:hAnsi="Times New Roman" w:cs="Times New Roman"/>
          <w:color w:val="000000"/>
          <w:lang w:eastAsia="fr-FR"/>
        </w:rPr>
        <w:t>vidualisés (Frey et al., 2013).</w:t>
      </w:r>
    </w:p>
    <w:p w14:paraId="0E4B473F" w14:textId="275F8A7A" w:rsidR="0027107C" w:rsidRDefault="0027107C" w:rsidP="00B91402">
      <w:pPr>
        <w:spacing w:before="120" w:line="276" w:lineRule="auto"/>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En dépit du foisonnement des recherches sur le bien-être au travail et la QVT, des limites sont apparues quant à la clarté conceptuelle de la QVT et ses l</w:t>
      </w:r>
      <w:r w:rsidR="00F149E1">
        <w:rPr>
          <w:rFonts w:ascii="Times New Roman" w:eastAsia="Times New Roman" w:hAnsi="Times New Roman" w:cs="Times New Roman"/>
          <w:color w:val="000000"/>
          <w:lang w:eastAsia="fr-FR"/>
        </w:rPr>
        <w:t>iens avec les pratiques de GRH.</w:t>
      </w:r>
      <w:r w:rsidR="004E767A">
        <w:rPr>
          <w:rFonts w:ascii="Times New Roman" w:eastAsia="Times New Roman" w:hAnsi="Times New Roman" w:cs="Times New Roman"/>
          <w:color w:val="000000"/>
          <w:lang w:eastAsia="fr-FR"/>
        </w:rPr>
        <w:t xml:space="preserve"> </w:t>
      </w:r>
      <w:r w:rsidR="001124F6">
        <w:rPr>
          <w:rFonts w:ascii="Times New Roman" w:eastAsia="Times New Roman" w:hAnsi="Times New Roman" w:cs="Times New Roman"/>
          <w:color w:val="000000"/>
          <w:lang w:eastAsia="fr-FR"/>
        </w:rPr>
        <w:t>L</w:t>
      </w:r>
      <w:r w:rsidRPr="000E33BF">
        <w:rPr>
          <w:rFonts w:ascii="Times New Roman" w:eastAsia="Times New Roman" w:hAnsi="Times New Roman" w:cs="Times New Roman"/>
          <w:color w:val="000000"/>
          <w:lang w:eastAsia="fr-FR"/>
        </w:rPr>
        <w:t xml:space="preserve">’objectif de notre recherche est </w:t>
      </w:r>
      <w:r w:rsidR="004E767A">
        <w:rPr>
          <w:rFonts w:ascii="Times New Roman" w:eastAsia="Times New Roman" w:hAnsi="Times New Roman" w:cs="Times New Roman"/>
          <w:color w:val="000000"/>
          <w:lang w:eastAsia="fr-FR"/>
        </w:rPr>
        <w:t xml:space="preserve">donc </w:t>
      </w:r>
      <w:r w:rsidRPr="000E33BF">
        <w:rPr>
          <w:rFonts w:ascii="Times New Roman" w:eastAsia="Times New Roman" w:hAnsi="Times New Roman" w:cs="Times New Roman"/>
          <w:color w:val="000000"/>
          <w:lang w:eastAsia="fr-FR"/>
        </w:rPr>
        <w:t>d’apporter une contribution à la discussion conceptuelle sur les pratiques de QVT et leurs effets en termes de bien-</w:t>
      </w:r>
      <w:r w:rsidR="006C4E2B" w:rsidRPr="000E33BF">
        <w:rPr>
          <w:rFonts w:ascii="Times New Roman" w:eastAsia="Times New Roman" w:hAnsi="Times New Roman" w:cs="Times New Roman"/>
          <w:color w:val="000000"/>
          <w:lang w:eastAsia="fr-FR"/>
        </w:rPr>
        <w:t xml:space="preserve">être au travail des salariés. </w:t>
      </w:r>
      <w:r w:rsidR="00A2028C">
        <w:rPr>
          <w:rFonts w:ascii="Times New Roman" w:eastAsia="Times New Roman" w:hAnsi="Times New Roman" w:cs="Times New Roman"/>
          <w:color w:val="000000"/>
          <w:lang w:eastAsia="fr-FR"/>
        </w:rPr>
        <w:t>Il s’agit donc, non seulement d’examiner les pratiques de QVT, mais aussi les liens qui peuvent exister entre ces pratiques et les indicateurs objectifs et subjectifs de conditions de travail.</w:t>
      </w:r>
    </w:p>
    <w:p w14:paraId="6D287953" w14:textId="16EF17D3" w:rsidR="00695D40" w:rsidRPr="00A2028C" w:rsidRDefault="00695D40" w:rsidP="00A2028C">
      <w:pPr>
        <w:pStyle w:val="Paragraphedeliste"/>
        <w:numPr>
          <w:ilvl w:val="0"/>
          <w:numId w:val="10"/>
        </w:numPr>
        <w:spacing w:after="200" w:line="276" w:lineRule="auto"/>
        <w:contextualSpacing/>
        <w:rPr>
          <w:b/>
        </w:rPr>
      </w:pPr>
      <w:r w:rsidRPr="00A2028C">
        <w:rPr>
          <w:b/>
        </w:rPr>
        <w:t>Un dispositif qui vise à restituer la diversité des pratiques associées à la Qualité de Vie au Travail</w:t>
      </w:r>
    </w:p>
    <w:p w14:paraId="44C35BC4"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Pour explorer la nature, les conditions d’existence et les liens existants entre pratiques associées à la QVT nous avons choisis d’explorer la situation d’organisations publiques de même nature. Ces organisations travaillent dans le champ de l’action sociale et l’action de chacune d’entre elles couvre un département du territoire français. Toutes les organisations départementales sauf une ont répondues à notre enquête selon le dispositif suivant élaboré avec la structure nationale de cette organisation et un groupe de directeurs départementaux. Notre échantillon est donc composé de cent organisations.</w:t>
      </w:r>
    </w:p>
    <w:p w14:paraId="1192562D" w14:textId="77777777" w:rsidR="00C303C3" w:rsidRDefault="00C303C3" w:rsidP="00B91402">
      <w:pPr>
        <w:spacing w:line="276" w:lineRule="auto"/>
        <w:jc w:val="both"/>
        <w:rPr>
          <w:rFonts w:ascii="Times New Roman" w:hAnsi="Times New Roman" w:cs="Times New Roman"/>
        </w:rPr>
      </w:pPr>
    </w:p>
    <w:p w14:paraId="15A4365D"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 xml:space="preserve">Les données analysées ici incorporent deux niveaux : </w:t>
      </w:r>
    </w:p>
    <w:p w14:paraId="57C63E30" w14:textId="7F2B8ED4" w:rsidR="00695D40" w:rsidRPr="000E33BF" w:rsidRDefault="00695D40" w:rsidP="00B91402">
      <w:pPr>
        <w:pStyle w:val="Paragraphedeliste"/>
        <w:numPr>
          <w:ilvl w:val="0"/>
          <w:numId w:val="9"/>
        </w:numPr>
        <w:spacing w:before="0" w:after="200" w:line="276" w:lineRule="auto"/>
        <w:contextualSpacing/>
      </w:pPr>
      <w:r w:rsidRPr="000E33BF">
        <w:t xml:space="preserve">Celui des salariés de ces organisations qui renseignent tous les quatre ans une enquête sous forme d’un bilan social qui incorpore 80 questions portant aussi bien sur le niveau de satisfaction, de motivation, de fierté dans l’organisation, de reconnaissance, d’appréciation du contenu du travail etc… Deux périodes de ce bilan ont été retenues. En plus de ces données d’enquête, les données relatives à l’absentéisme ont été collectées auprès de l’organisation nationale organisation par organisation. </w:t>
      </w:r>
      <w:r w:rsidR="00C303C3">
        <w:t>Nous avons retenu ici l’absentéisme de courte durée (moins de quatre jours) qui est celui qui est généralement associé aux difficultés rencontrées dans l’exercice du travail.</w:t>
      </w:r>
    </w:p>
    <w:p w14:paraId="6B4C9E50" w14:textId="5206D1FB" w:rsidR="00695D40" w:rsidRDefault="00695D40" w:rsidP="00B91402">
      <w:pPr>
        <w:pStyle w:val="Paragraphedeliste"/>
        <w:numPr>
          <w:ilvl w:val="0"/>
          <w:numId w:val="9"/>
        </w:numPr>
        <w:spacing w:before="0" w:after="200" w:line="276" w:lineRule="auto"/>
        <w:contextualSpacing/>
      </w:pPr>
      <w:r w:rsidRPr="000E33BF">
        <w:t>Celui des organisations elles-mêmes. Après plusieurs échanges avec un groupe de directeurs sur ce que recouvre la notion de QVT, les directeurs ont identifiés l’ensemble de ce qui pouvait être fait en matière de QVT dans chaque organisation. Un questionnaire a ensuite été testé puis administré. Dans chaque organisation un comité de direction élargi à des experts et/ou des représentants des salariés a renseigné collectivement  un état des pratiques. 825 salariés ont participé à phase de collecte d’information sur les pratiques en usage dans l’organisation. Pour chaque type de pratique</w:t>
      </w:r>
      <w:r w:rsidR="005079F8">
        <w:t>, la réponse quant à sa présence a été objectivée par une requête complémentaire demandant un exemple illustratif.</w:t>
      </w:r>
    </w:p>
    <w:p w14:paraId="6C88AAA1" w14:textId="40937A14" w:rsidR="005079F8" w:rsidRPr="005079F8" w:rsidRDefault="005079F8" w:rsidP="005079F8">
      <w:pPr>
        <w:spacing w:after="200" w:line="276" w:lineRule="auto"/>
        <w:contextualSpacing/>
        <w:jc w:val="both"/>
        <w:rPr>
          <w:rFonts w:ascii="Times New Roman" w:hAnsi="Times New Roman" w:cs="Times New Roman"/>
        </w:rPr>
      </w:pPr>
      <w:r w:rsidRPr="005079F8">
        <w:rPr>
          <w:rFonts w:ascii="Times New Roman" w:hAnsi="Times New Roman" w:cs="Times New Roman"/>
        </w:rPr>
        <w:lastRenderedPageBreak/>
        <w:t>Ces différents modes de collecte</w:t>
      </w:r>
      <w:r>
        <w:rPr>
          <w:rFonts w:ascii="Times New Roman" w:hAnsi="Times New Roman" w:cs="Times New Roman"/>
        </w:rPr>
        <w:t xml:space="preserve"> permettent de disposer à la fois de données organisationnelles validées par un collectif, de données individuelles subjectives cumulées organisation par organisations et de données collectives objectives.</w:t>
      </w:r>
    </w:p>
    <w:p w14:paraId="75624BF6" w14:textId="77777777" w:rsidR="00695D40" w:rsidRPr="000E33BF" w:rsidRDefault="00695D40" w:rsidP="00B91402">
      <w:pPr>
        <w:spacing w:line="276" w:lineRule="auto"/>
        <w:rPr>
          <w:rFonts w:ascii="Times New Roman" w:hAnsi="Times New Roman" w:cs="Times New Roman"/>
        </w:rPr>
      </w:pPr>
    </w:p>
    <w:p w14:paraId="57090198" w14:textId="3CCDADED" w:rsidR="00695D40" w:rsidRPr="005079F8" w:rsidRDefault="00695D40" w:rsidP="005079F8">
      <w:pPr>
        <w:pStyle w:val="Paragraphedeliste"/>
        <w:numPr>
          <w:ilvl w:val="0"/>
          <w:numId w:val="10"/>
        </w:numPr>
        <w:spacing w:after="200" w:line="276" w:lineRule="auto"/>
        <w:contextualSpacing/>
        <w:rPr>
          <w:b/>
        </w:rPr>
      </w:pPr>
      <w:r w:rsidRPr="005079F8">
        <w:rPr>
          <w:b/>
        </w:rPr>
        <w:t>Un inventaire des pratiques qui produit une extension de la notion de Qualité de Vie au Travail</w:t>
      </w:r>
    </w:p>
    <w:p w14:paraId="6956F69A" w14:textId="096228B9" w:rsidR="00B92D77" w:rsidRDefault="00B92D77" w:rsidP="00B91402">
      <w:pPr>
        <w:spacing w:line="276" w:lineRule="auto"/>
        <w:jc w:val="both"/>
        <w:rPr>
          <w:rFonts w:ascii="Times New Roman" w:hAnsi="Times New Roman" w:cs="Times New Roman"/>
        </w:rPr>
      </w:pPr>
      <w:r>
        <w:rPr>
          <w:rFonts w:ascii="Times New Roman" w:hAnsi="Times New Roman" w:cs="Times New Roman"/>
        </w:rPr>
        <w:t>L’analyse des données collectées permet aussi bien de dresser un inventaire des pratiques associées à la Qualité de Vie au Travail (3.1.) que d’identifier quels peuvent être les leviers et les effets de ces pratiques (3.2.).</w:t>
      </w:r>
    </w:p>
    <w:p w14:paraId="7F3E0566" w14:textId="77777777" w:rsidR="00B92D77" w:rsidRPr="00B92D77" w:rsidRDefault="00B92D77" w:rsidP="00B91402">
      <w:pPr>
        <w:spacing w:line="276" w:lineRule="auto"/>
        <w:jc w:val="both"/>
        <w:rPr>
          <w:rFonts w:ascii="Times New Roman" w:hAnsi="Times New Roman" w:cs="Times New Roman"/>
          <w:b/>
        </w:rPr>
      </w:pPr>
    </w:p>
    <w:p w14:paraId="15C0EEB1" w14:textId="3DACD443" w:rsidR="00B92D77" w:rsidRPr="00B92D77" w:rsidRDefault="00B92D77" w:rsidP="00B92D77">
      <w:pPr>
        <w:pStyle w:val="Paragraphedeliste"/>
        <w:numPr>
          <w:ilvl w:val="1"/>
          <w:numId w:val="10"/>
        </w:numPr>
        <w:spacing w:line="276" w:lineRule="auto"/>
        <w:rPr>
          <w:b/>
        </w:rPr>
      </w:pPr>
      <w:r w:rsidRPr="00B92D77">
        <w:rPr>
          <w:b/>
        </w:rPr>
        <w:t xml:space="preserve"> Des pratiques très larges</w:t>
      </w:r>
    </w:p>
    <w:p w14:paraId="11E5F320" w14:textId="77777777" w:rsidR="00B92D77" w:rsidRPr="00B92D77" w:rsidRDefault="00B92D77" w:rsidP="00B92D77">
      <w:pPr>
        <w:pStyle w:val="Paragraphedeliste"/>
        <w:spacing w:line="276" w:lineRule="auto"/>
        <w:ind w:left="720"/>
      </w:pPr>
    </w:p>
    <w:p w14:paraId="0F8F0D59" w14:textId="5CC881EE" w:rsidR="00695D40" w:rsidRDefault="00695D40" w:rsidP="00B91402">
      <w:pPr>
        <w:spacing w:line="276" w:lineRule="auto"/>
        <w:jc w:val="both"/>
        <w:rPr>
          <w:rFonts w:ascii="Times New Roman" w:hAnsi="Times New Roman" w:cs="Times New Roman"/>
        </w:rPr>
      </w:pPr>
      <w:r w:rsidRPr="000E33BF">
        <w:rPr>
          <w:rFonts w:ascii="Times New Roman" w:hAnsi="Times New Roman" w:cs="Times New Roman"/>
        </w:rPr>
        <w:t xml:space="preserve">L’inventaire des pratiques mobilisées en matière de Qualité de Vie au Travail a été réalisé en deux temps. Le premier a consisté en l’élaboration d’une définition initiale de la Qualité de Vie au Travail à partir de la littérature. </w:t>
      </w:r>
      <w:r w:rsidR="005079F8">
        <w:rPr>
          <w:rFonts w:ascii="Times New Roman" w:hAnsi="Times New Roman" w:cs="Times New Roman"/>
        </w:rPr>
        <w:t xml:space="preserve">La définition retenue est celle </w:t>
      </w:r>
      <w:r w:rsidR="00B92D77" w:rsidRPr="000E33BF">
        <w:rPr>
          <w:rFonts w:ascii="Times New Roman" w:eastAsia="Times New Roman" w:hAnsi="Times New Roman" w:cs="Times New Roman"/>
          <w:color w:val="000000"/>
          <w:lang w:eastAsia="fr-FR"/>
        </w:rPr>
        <w:t>Ahmad: «</w:t>
      </w:r>
      <w:r w:rsidR="00B92D77" w:rsidRPr="00A2028C">
        <w:rPr>
          <w:rFonts w:ascii="Times New Roman" w:eastAsia="Times New Roman" w:hAnsi="Times New Roman" w:cs="Times New Roman"/>
          <w:b/>
          <w:i/>
          <w:color w:val="000000"/>
          <w:lang w:eastAsia="fr-FR"/>
        </w:rPr>
        <w:t> un environnement de travail dans lequel les employés peuvent travailler en coopération les uns avec les autres afin d'atteindre les objectifs de l'organisation </w:t>
      </w:r>
      <w:r w:rsidR="00B92D77" w:rsidRPr="000E33BF">
        <w:rPr>
          <w:rFonts w:ascii="Times New Roman" w:eastAsia="Times New Roman" w:hAnsi="Times New Roman" w:cs="Times New Roman"/>
          <w:color w:val="000000"/>
          <w:lang w:eastAsia="fr-FR"/>
        </w:rPr>
        <w:t>» (Ahmad, 2013, p. 74).</w:t>
      </w:r>
    </w:p>
    <w:p w14:paraId="19166A03" w14:textId="77777777" w:rsidR="005079F8" w:rsidRPr="000E33BF" w:rsidRDefault="005079F8" w:rsidP="00B91402">
      <w:pPr>
        <w:spacing w:line="276" w:lineRule="auto"/>
        <w:jc w:val="both"/>
        <w:rPr>
          <w:rFonts w:ascii="Times New Roman" w:hAnsi="Times New Roman" w:cs="Times New Roman"/>
        </w:rPr>
      </w:pPr>
    </w:p>
    <w:p w14:paraId="7DFFBCBC"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 xml:space="preserve">Cette définition a ensuite été soumise à un groupe de dirigeants réunis pour échanger sur la QVT. Ceux-ci ont alors définis ce qu’ils faisaient ou pourraient faire pour la développer. Cela a donné un total de 52 pratiques que nous avons regroupées ensuite dans les quatre catégories du modèle SLAC (Abord de Chatillon et Richard, 2015) : </w:t>
      </w:r>
    </w:p>
    <w:p w14:paraId="56F87B58" w14:textId="77777777" w:rsidR="00695D40" w:rsidRPr="000E33BF" w:rsidRDefault="00695D40" w:rsidP="00B91402">
      <w:pPr>
        <w:pStyle w:val="Paragraphedeliste"/>
        <w:numPr>
          <w:ilvl w:val="0"/>
          <w:numId w:val="8"/>
        </w:numPr>
        <w:spacing w:before="0" w:after="200" w:line="276" w:lineRule="auto"/>
        <w:contextualSpacing/>
      </w:pPr>
      <w:r w:rsidRPr="000E33BF">
        <w:t>Huit pratiques portant sur la construction du sens ;</w:t>
      </w:r>
    </w:p>
    <w:p w14:paraId="15A0D356" w14:textId="77777777" w:rsidR="00695D40" w:rsidRPr="000E33BF" w:rsidRDefault="00695D40" w:rsidP="00B91402">
      <w:pPr>
        <w:pStyle w:val="Paragraphedeliste"/>
        <w:numPr>
          <w:ilvl w:val="0"/>
          <w:numId w:val="8"/>
        </w:numPr>
        <w:spacing w:before="0" w:after="200" w:line="276" w:lineRule="auto"/>
        <w:contextualSpacing/>
      </w:pPr>
      <w:r w:rsidRPr="000E33BF">
        <w:t>Neuf pratiques portant sur la construction du lien ;</w:t>
      </w:r>
    </w:p>
    <w:p w14:paraId="55D84117" w14:textId="77777777" w:rsidR="00695D40" w:rsidRPr="000E33BF" w:rsidRDefault="00695D40" w:rsidP="00B91402">
      <w:pPr>
        <w:pStyle w:val="Paragraphedeliste"/>
        <w:numPr>
          <w:ilvl w:val="0"/>
          <w:numId w:val="8"/>
        </w:numPr>
        <w:spacing w:before="0" w:after="200" w:line="276" w:lineRule="auto"/>
        <w:contextualSpacing/>
      </w:pPr>
      <w:r w:rsidRPr="000E33BF">
        <w:t>Dix-neuf pratiques portant sur le développement de l’activité.</w:t>
      </w:r>
    </w:p>
    <w:p w14:paraId="6445E7B2" w14:textId="72F81BA0" w:rsidR="00695D40" w:rsidRPr="000E33BF" w:rsidRDefault="00695D40" w:rsidP="00B91402">
      <w:pPr>
        <w:pStyle w:val="Paragraphedeliste"/>
        <w:numPr>
          <w:ilvl w:val="0"/>
          <w:numId w:val="8"/>
        </w:numPr>
        <w:spacing w:before="0" w:after="200" w:line="276" w:lineRule="auto"/>
        <w:contextualSpacing/>
      </w:pPr>
      <w:r w:rsidRPr="000E33BF">
        <w:t xml:space="preserve">Et seize </w:t>
      </w:r>
      <w:r w:rsidR="00B92D77" w:rsidRPr="000E33BF">
        <w:t>portants</w:t>
      </w:r>
      <w:r w:rsidRPr="000E33BF">
        <w:t xml:space="preserve"> sur l’amélioration du confort. </w:t>
      </w:r>
    </w:p>
    <w:p w14:paraId="68D6776C"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 xml:space="preserve">L’observation de ces pratiques montre que celles-ci sont largement diffusées dans ces organisations. </w:t>
      </w:r>
    </w:p>
    <w:p w14:paraId="06B04952" w14:textId="33827922"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 xml:space="preserve">Si l’on observe chacune des dimensions, </w:t>
      </w:r>
      <w:r w:rsidR="00133A97">
        <w:rPr>
          <w:rFonts w:ascii="Times New Roman" w:hAnsi="Times New Roman" w:cs="Times New Roman"/>
        </w:rPr>
        <w:t>cela permet de rendre compte qu</w:t>
      </w:r>
      <w:r w:rsidRPr="000E33BF">
        <w:rPr>
          <w:rFonts w:ascii="Times New Roman" w:hAnsi="Times New Roman" w:cs="Times New Roman"/>
        </w:rPr>
        <w:t>elles sont les actions réalisées.</w:t>
      </w:r>
    </w:p>
    <w:p w14:paraId="33F99586"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Sur la question du sens, on remarque d’une part l’importance des actions de cohésion interne, mais aussi le fait que la plupart de ces organisations mènent de nombreuses actions qui peuvent être associées à cette dimension.</w:t>
      </w:r>
    </w:p>
    <w:tbl>
      <w:tblPr>
        <w:tblW w:w="91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2"/>
        <w:gridCol w:w="880"/>
        <w:gridCol w:w="992"/>
        <w:gridCol w:w="992"/>
      </w:tblGrid>
      <w:tr w:rsidR="00695D40" w:rsidRPr="000E33BF" w14:paraId="33E4A8EA" w14:textId="77777777" w:rsidTr="00B92D77">
        <w:trPr>
          <w:trHeight w:val="300"/>
        </w:trPr>
        <w:tc>
          <w:tcPr>
            <w:tcW w:w="6252" w:type="dxa"/>
            <w:shd w:val="clear" w:color="auto" w:fill="auto"/>
            <w:noWrap/>
            <w:vAlign w:val="bottom"/>
            <w:hideMark/>
          </w:tcPr>
          <w:p w14:paraId="08E9FB24" w14:textId="77777777" w:rsidR="00695D40" w:rsidRPr="000E33BF" w:rsidRDefault="00695D40" w:rsidP="00162678">
            <w:pPr>
              <w:rPr>
                <w:rFonts w:ascii="Times New Roman" w:eastAsia="Times New Roman" w:hAnsi="Times New Roman" w:cs="Times New Roman"/>
                <w:color w:val="000000"/>
              </w:rPr>
            </w:pPr>
          </w:p>
        </w:tc>
        <w:tc>
          <w:tcPr>
            <w:tcW w:w="880" w:type="dxa"/>
            <w:shd w:val="clear" w:color="auto" w:fill="auto"/>
            <w:noWrap/>
            <w:vAlign w:val="bottom"/>
            <w:hideMark/>
          </w:tcPr>
          <w:p w14:paraId="1354562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oui</w:t>
            </w:r>
          </w:p>
        </w:tc>
        <w:tc>
          <w:tcPr>
            <w:tcW w:w="992" w:type="dxa"/>
            <w:shd w:val="clear" w:color="auto" w:fill="auto"/>
            <w:noWrap/>
            <w:vAlign w:val="bottom"/>
            <w:hideMark/>
          </w:tcPr>
          <w:p w14:paraId="257A6B0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en partie</w:t>
            </w:r>
          </w:p>
        </w:tc>
        <w:tc>
          <w:tcPr>
            <w:tcW w:w="992" w:type="dxa"/>
            <w:shd w:val="clear" w:color="auto" w:fill="auto"/>
            <w:noWrap/>
            <w:vAlign w:val="bottom"/>
            <w:hideMark/>
          </w:tcPr>
          <w:p w14:paraId="64693A0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non</w:t>
            </w:r>
          </w:p>
        </w:tc>
      </w:tr>
      <w:tr w:rsidR="00695D40" w:rsidRPr="000E33BF" w14:paraId="538C9F4E" w14:textId="77777777" w:rsidTr="00B92D77">
        <w:trPr>
          <w:trHeight w:val="300"/>
        </w:trPr>
        <w:tc>
          <w:tcPr>
            <w:tcW w:w="6252" w:type="dxa"/>
            <w:shd w:val="clear" w:color="auto" w:fill="auto"/>
            <w:noWrap/>
            <w:vAlign w:val="bottom"/>
            <w:hideMark/>
          </w:tcPr>
          <w:p w14:paraId="6630E894"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permettant de favoriser la transversalité entre les services</w:t>
            </w:r>
          </w:p>
        </w:tc>
        <w:tc>
          <w:tcPr>
            <w:tcW w:w="880" w:type="dxa"/>
            <w:shd w:val="clear" w:color="auto" w:fill="auto"/>
            <w:noWrap/>
            <w:vAlign w:val="bottom"/>
            <w:hideMark/>
          </w:tcPr>
          <w:p w14:paraId="7D57723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66,30%</w:t>
            </w:r>
          </w:p>
        </w:tc>
        <w:tc>
          <w:tcPr>
            <w:tcW w:w="992" w:type="dxa"/>
            <w:shd w:val="clear" w:color="auto" w:fill="auto"/>
            <w:noWrap/>
            <w:vAlign w:val="bottom"/>
            <w:hideMark/>
          </w:tcPr>
          <w:p w14:paraId="1EC5C33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33,70%</w:t>
            </w:r>
          </w:p>
        </w:tc>
        <w:tc>
          <w:tcPr>
            <w:tcW w:w="992" w:type="dxa"/>
            <w:shd w:val="clear" w:color="auto" w:fill="auto"/>
            <w:noWrap/>
            <w:vAlign w:val="bottom"/>
            <w:hideMark/>
          </w:tcPr>
          <w:p w14:paraId="23DF961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0,00%</w:t>
            </w:r>
          </w:p>
        </w:tc>
      </w:tr>
      <w:tr w:rsidR="00695D40" w:rsidRPr="000E33BF" w14:paraId="56A85380" w14:textId="77777777" w:rsidTr="00B92D77">
        <w:trPr>
          <w:trHeight w:val="300"/>
        </w:trPr>
        <w:tc>
          <w:tcPr>
            <w:tcW w:w="6252" w:type="dxa"/>
            <w:shd w:val="clear" w:color="auto" w:fill="auto"/>
            <w:noWrap/>
            <w:vAlign w:val="bottom"/>
            <w:hideMark/>
          </w:tcPr>
          <w:p w14:paraId="54C855B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permettant de renforcer la culture et le sentiment d'appartenance à l'organisme</w:t>
            </w:r>
          </w:p>
        </w:tc>
        <w:tc>
          <w:tcPr>
            <w:tcW w:w="880" w:type="dxa"/>
            <w:shd w:val="clear" w:color="auto" w:fill="auto"/>
            <w:noWrap/>
            <w:vAlign w:val="bottom"/>
            <w:hideMark/>
          </w:tcPr>
          <w:p w14:paraId="248D3A4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63,30%</w:t>
            </w:r>
          </w:p>
        </w:tc>
        <w:tc>
          <w:tcPr>
            <w:tcW w:w="992" w:type="dxa"/>
            <w:shd w:val="clear" w:color="auto" w:fill="auto"/>
            <w:noWrap/>
            <w:vAlign w:val="bottom"/>
            <w:hideMark/>
          </w:tcPr>
          <w:p w14:paraId="590185B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31,60%</w:t>
            </w:r>
          </w:p>
        </w:tc>
        <w:tc>
          <w:tcPr>
            <w:tcW w:w="992" w:type="dxa"/>
            <w:shd w:val="clear" w:color="auto" w:fill="auto"/>
            <w:noWrap/>
            <w:vAlign w:val="bottom"/>
            <w:hideMark/>
          </w:tcPr>
          <w:p w14:paraId="2A749C9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5,10%</w:t>
            </w:r>
          </w:p>
        </w:tc>
      </w:tr>
      <w:tr w:rsidR="00695D40" w:rsidRPr="000E33BF" w14:paraId="314EC9D9" w14:textId="77777777" w:rsidTr="00B92D77">
        <w:trPr>
          <w:trHeight w:val="300"/>
        </w:trPr>
        <w:tc>
          <w:tcPr>
            <w:tcW w:w="6252" w:type="dxa"/>
            <w:shd w:val="clear" w:color="auto" w:fill="auto"/>
            <w:noWrap/>
            <w:vAlign w:val="bottom"/>
            <w:hideMark/>
          </w:tcPr>
          <w:p w14:paraId="12983F0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permettant de favoriser l'engagement sociétal </w:t>
            </w:r>
          </w:p>
        </w:tc>
        <w:tc>
          <w:tcPr>
            <w:tcW w:w="880" w:type="dxa"/>
            <w:shd w:val="clear" w:color="auto" w:fill="auto"/>
            <w:noWrap/>
            <w:vAlign w:val="bottom"/>
            <w:hideMark/>
          </w:tcPr>
          <w:p w14:paraId="75B5B33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59,20%</w:t>
            </w:r>
          </w:p>
        </w:tc>
        <w:tc>
          <w:tcPr>
            <w:tcW w:w="992" w:type="dxa"/>
            <w:shd w:val="clear" w:color="auto" w:fill="auto"/>
            <w:noWrap/>
            <w:vAlign w:val="bottom"/>
            <w:hideMark/>
          </w:tcPr>
          <w:p w14:paraId="56AA665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26,50%</w:t>
            </w:r>
          </w:p>
        </w:tc>
        <w:tc>
          <w:tcPr>
            <w:tcW w:w="992" w:type="dxa"/>
            <w:shd w:val="clear" w:color="auto" w:fill="auto"/>
            <w:noWrap/>
            <w:vAlign w:val="bottom"/>
            <w:hideMark/>
          </w:tcPr>
          <w:p w14:paraId="62249AA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14,30%</w:t>
            </w:r>
          </w:p>
        </w:tc>
      </w:tr>
      <w:tr w:rsidR="00695D40" w:rsidRPr="000E33BF" w14:paraId="58AAB96E" w14:textId="77777777" w:rsidTr="00B92D77">
        <w:trPr>
          <w:trHeight w:val="300"/>
        </w:trPr>
        <w:tc>
          <w:tcPr>
            <w:tcW w:w="6252" w:type="dxa"/>
            <w:shd w:val="clear" w:color="auto" w:fill="auto"/>
            <w:noWrap/>
            <w:vAlign w:val="bottom"/>
            <w:hideMark/>
          </w:tcPr>
          <w:p w14:paraId="3F91F4C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autour des valeurs du service public</w:t>
            </w:r>
          </w:p>
        </w:tc>
        <w:tc>
          <w:tcPr>
            <w:tcW w:w="880" w:type="dxa"/>
            <w:shd w:val="clear" w:color="auto" w:fill="auto"/>
            <w:noWrap/>
            <w:vAlign w:val="bottom"/>
            <w:hideMark/>
          </w:tcPr>
          <w:p w14:paraId="5D69533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40,80%</w:t>
            </w:r>
          </w:p>
        </w:tc>
        <w:tc>
          <w:tcPr>
            <w:tcW w:w="992" w:type="dxa"/>
            <w:shd w:val="clear" w:color="auto" w:fill="auto"/>
            <w:noWrap/>
            <w:vAlign w:val="bottom"/>
            <w:hideMark/>
          </w:tcPr>
          <w:p w14:paraId="2CAAFAD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35,70%</w:t>
            </w:r>
          </w:p>
        </w:tc>
        <w:tc>
          <w:tcPr>
            <w:tcW w:w="992" w:type="dxa"/>
            <w:shd w:val="clear" w:color="auto" w:fill="auto"/>
            <w:noWrap/>
            <w:vAlign w:val="bottom"/>
            <w:hideMark/>
          </w:tcPr>
          <w:p w14:paraId="3664EB7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23,50%</w:t>
            </w:r>
          </w:p>
        </w:tc>
      </w:tr>
      <w:tr w:rsidR="00695D40" w:rsidRPr="000E33BF" w14:paraId="40EBF916" w14:textId="77777777" w:rsidTr="00B92D77">
        <w:trPr>
          <w:trHeight w:val="300"/>
        </w:trPr>
        <w:tc>
          <w:tcPr>
            <w:tcW w:w="6252" w:type="dxa"/>
            <w:shd w:val="clear" w:color="auto" w:fill="auto"/>
            <w:noWrap/>
            <w:vAlign w:val="bottom"/>
            <w:hideMark/>
          </w:tcPr>
          <w:p w14:paraId="2898927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espaces permettant la mise en discussion des valeurs et de la mission des différents services</w:t>
            </w:r>
          </w:p>
        </w:tc>
        <w:tc>
          <w:tcPr>
            <w:tcW w:w="880" w:type="dxa"/>
            <w:shd w:val="clear" w:color="auto" w:fill="auto"/>
            <w:noWrap/>
            <w:vAlign w:val="bottom"/>
            <w:hideMark/>
          </w:tcPr>
          <w:p w14:paraId="0036DEF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37,80%</w:t>
            </w:r>
          </w:p>
        </w:tc>
        <w:tc>
          <w:tcPr>
            <w:tcW w:w="992" w:type="dxa"/>
            <w:shd w:val="clear" w:color="auto" w:fill="auto"/>
            <w:noWrap/>
            <w:vAlign w:val="bottom"/>
            <w:hideMark/>
          </w:tcPr>
          <w:p w14:paraId="541411A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32,70%</w:t>
            </w:r>
          </w:p>
        </w:tc>
        <w:tc>
          <w:tcPr>
            <w:tcW w:w="992" w:type="dxa"/>
            <w:shd w:val="clear" w:color="auto" w:fill="auto"/>
            <w:noWrap/>
            <w:vAlign w:val="bottom"/>
            <w:hideMark/>
          </w:tcPr>
          <w:p w14:paraId="20F70E4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29,60%</w:t>
            </w:r>
          </w:p>
        </w:tc>
      </w:tr>
      <w:tr w:rsidR="00695D40" w:rsidRPr="000E33BF" w14:paraId="5ED8794D" w14:textId="77777777" w:rsidTr="00B92D77">
        <w:trPr>
          <w:trHeight w:val="300"/>
        </w:trPr>
        <w:tc>
          <w:tcPr>
            <w:tcW w:w="6252" w:type="dxa"/>
            <w:shd w:val="clear" w:color="auto" w:fill="auto"/>
            <w:noWrap/>
            <w:vAlign w:val="bottom"/>
            <w:hideMark/>
          </w:tcPr>
          <w:p w14:paraId="37BF906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lastRenderedPageBreak/>
              <w:t>Des actions visant à développer le sentiment de fierté des salariés et le sens du service public</w:t>
            </w:r>
          </w:p>
        </w:tc>
        <w:tc>
          <w:tcPr>
            <w:tcW w:w="880" w:type="dxa"/>
            <w:shd w:val="clear" w:color="auto" w:fill="auto"/>
            <w:noWrap/>
            <w:vAlign w:val="bottom"/>
            <w:hideMark/>
          </w:tcPr>
          <w:p w14:paraId="4B14210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36,70%</w:t>
            </w:r>
          </w:p>
        </w:tc>
        <w:tc>
          <w:tcPr>
            <w:tcW w:w="992" w:type="dxa"/>
            <w:shd w:val="clear" w:color="auto" w:fill="auto"/>
            <w:noWrap/>
            <w:vAlign w:val="bottom"/>
            <w:hideMark/>
          </w:tcPr>
          <w:p w14:paraId="5E43E04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38,80%</w:t>
            </w:r>
          </w:p>
        </w:tc>
        <w:tc>
          <w:tcPr>
            <w:tcW w:w="992" w:type="dxa"/>
            <w:shd w:val="clear" w:color="auto" w:fill="auto"/>
            <w:noWrap/>
            <w:vAlign w:val="bottom"/>
            <w:hideMark/>
          </w:tcPr>
          <w:p w14:paraId="6D011D9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24,50%</w:t>
            </w:r>
          </w:p>
        </w:tc>
      </w:tr>
      <w:tr w:rsidR="00695D40" w:rsidRPr="000E33BF" w14:paraId="662A6098" w14:textId="77777777" w:rsidTr="00B92D77">
        <w:trPr>
          <w:trHeight w:val="300"/>
        </w:trPr>
        <w:tc>
          <w:tcPr>
            <w:tcW w:w="6252" w:type="dxa"/>
            <w:shd w:val="clear" w:color="auto" w:fill="auto"/>
            <w:noWrap/>
            <w:vAlign w:val="bottom"/>
            <w:hideMark/>
          </w:tcPr>
          <w:p w14:paraId="31B26434"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Un travail de définition des valeurs de l'organisme</w:t>
            </w:r>
          </w:p>
        </w:tc>
        <w:tc>
          <w:tcPr>
            <w:tcW w:w="880" w:type="dxa"/>
            <w:shd w:val="clear" w:color="auto" w:fill="auto"/>
            <w:noWrap/>
            <w:vAlign w:val="bottom"/>
            <w:hideMark/>
          </w:tcPr>
          <w:p w14:paraId="23BAE19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35,70%</w:t>
            </w:r>
          </w:p>
        </w:tc>
        <w:tc>
          <w:tcPr>
            <w:tcW w:w="992" w:type="dxa"/>
            <w:shd w:val="clear" w:color="auto" w:fill="auto"/>
            <w:noWrap/>
            <w:vAlign w:val="bottom"/>
            <w:hideMark/>
          </w:tcPr>
          <w:p w14:paraId="536CB79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39,80%</w:t>
            </w:r>
          </w:p>
        </w:tc>
        <w:tc>
          <w:tcPr>
            <w:tcW w:w="992" w:type="dxa"/>
            <w:shd w:val="clear" w:color="auto" w:fill="auto"/>
            <w:noWrap/>
            <w:vAlign w:val="bottom"/>
            <w:hideMark/>
          </w:tcPr>
          <w:p w14:paraId="0CCB167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24,50%</w:t>
            </w:r>
          </w:p>
        </w:tc>
      </w:tr>
      <w:tr w:rsidR="00B92D77" w:rsidRPr="000E33BF" w14:paraId="7F43CBC2" w14:textId="77777777" w:rsidTr="00B92D77">
        <w:trPr>
          <w:trHeight w:val="300"/>
        </w:trPr>
        <w:tc>
          <w:tcPr>
            <w:tcW w:w="6252" w:type="dxa"/>
            <w:shd w:val="clear" w:color="auto" w:fill="auto"/>
            <w:noWrap/>
            <w:vAlign w:val="bottom"/>
            <w:hideMark/>
          </w:tcPr>
          <w:p w14:paraId="28E0EB95" w14:textId="77777777" w:rsidR="00B92D77" w:rsidRPr="000E33BF" w:rsidRDefault="00B92D77" w:rsidP="001911A7">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D'autres actions permettant de favoriser le sens</w:t>
            </w:r>
          </w:p>
        </w:tc>
        <w:tc>
          <w:tcPr>
            <w:tcW w:w="880" w:type="dxa"/>
            <w:shd w:val="clear" w:color="auto" w:fill="auto"/>
            <w:noWrap/>
            <w:vAlign w:val="bottom"/>
            <w:hideMark/>
          </w:tcPr>
          <w:p w14:paraId="57BA7511" w14:textId="77777777" w:rsidR="00B92D77" w:rsidRPr="000E33BF" w:rsidRDefault="00B92D77" w:rsidP="001911A7">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42,90%</w:t>
            </w:r>
          </w:p>
        </w:tc>
        <w:tc>
          <w:tcPr>
            <w:tcW w:w="992" w:type="dxa"/>
            <w:shd w:val="clear" w:color="auto" w:fill="auto"/>
            <w:noWrap/>
            <w:vAlign w:val="bottom"/>
            <w:hideMark/>
          </w:tcPr>
          <w:p w14:paraId="2729E106" w14:textId="77777777" w:rsidR="00B92D77" w:rsidRPr="000E33BF" w:rsidRDefault="00B92D77" w:rsidP="001911A7">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24,50%</w:t>
            </w:r>
          </w:p>
        </w:tc>
        <w:tc>
          <w:tcPr>
            <w:tcW w:w="992" w:type="dxa"/>
            <w:shd w:val="clear" w:color="auto" w:fill="auto"/>
            <w:noWrap/>
            <w:vAlign w:val="bottom"/>
            <w:hideMark/>
          </w:tcPr>
          <w:p w14:paraId="0CAA6079" w14:textId="77777777" w:rsidR="00B92D77" w:rsidRPr="000E33BF" w:rsidRDefault="00B92D77" w:rsidP="001911A7">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32,70%</w:t>
            </w:r>
          </w:p>
        </w:tc>
      </w:tr>
    </w:tbl>
    <w:p w14:paraId="02C8A75A" w14:textId="77777777" w:rsidR="00695D40" w:rsidRPr="000E33BF" w:rsidRDefault="00695D40" w:rsidP="00695D40">
      <w:pPr>
        <w:rPr>
          <w:rFonts w:ascii="Times New Roman" w:hAnsi="Times New Roman" w:cs="Times New Roman"/>
        </w:rPr>
      </w:pPr>
    </w:p>
    <w:p w14:paraId="66C8CC09" w14:textId="2F6DEB2A" w:rsidR="00695D40" w:rsidRDefault="00695D40" w:rsidP="00B91402">
      <w:pPr>
        <w:spacing w:line="276" w:lineRule="auto"/>
        <w:jc w:val="both"/>
        <w:rPr>
          <w:rFonts w:ascii="Times New Roman" w:hAnsi="Times New Roman" w:cs="Times New Roman"/>
        </w:rPr>
      </w:pPr>
      <w:r w:rsidRPr="000E33BF">
        <w:rPr>
          <w:rFonts w:ascii="Times New Roman" w:hAnsi="Times New Roman" w:cs="Times New Roman"/>
        </w:rPr>
        <w:t>C’est ainsi que la dimension du se</w:t>
      </w:r>
      <w:r w:rsidR="00B92D77">
        <w:rPr>
          <w:rFonts w:ascii="Times New Roman" w:hAnsi="Times New Roman" w:cs="Times New Roman"/>
        </w:rPr>
        <w:t>ns construit collectivement à</w:t>
      </w:r>
      <w:r w:rsidRPr="000E33BF">
        <w:rPr>
          <w:rFonts w:ascii="Times New Roman" w:hAnsi="Times New Roman" w:cs="Times New Roman"/>
        </w:rPr>
        <w:t xml:space="preserve"> l’intérieur</w:t>
      </w:r>
      <w:r w:rsidR="00B92D77">
        <w:rPr>
          <w:rFonts w:ascii="Times New Roman" w:hAnsi="Times New Roman" w:cs="Times New Roman"/>
        </w:rPr>
        <w:t xml:space="preserve"> de l’organisation</w:t>
      </w:r>
      <w:r w:rsidRPr="000E33BF">
        <w:rPr>
          <w:rFonts w:ascii="Times New Roman" w:hAnsi="Times New Roman" w:cs="Times New Roman"/>
        </w:rPr>
        <w:t xml:space="preserve"> semble plus important que le sens global autour des valeurs globale</w:t>
      </w:r>
      <w:r w:rsidR="00133A97">
        <w:rPr>
          <w:rFonts w:ascii="Times New Roman" w:hAnsi="Times New Roman" w:cs="Times New Roman"/>
        </w:rPr>
        <w:t>s</w:t>
      </w:r>
      <w:r w:rsidRPr="000E33BF">
        <w:rPr>
          <w:rFonts w:ascii="Times New Roman" w:hAnsi="Times New Roman" w:cs="Times New Roman"/>
        </w:rPr>
        <w:t xml:space="preserve"> de l’organisation ou plus globalement la notion de service public.</w:t>
      </w:r>
    </w:p>
    <w:p w14:paraId="66ECCE74" w14:textId="77777777" w:rsidR="00B92D77" w:rsidRPr="000E33BF" w:rsidRDefault="00B92D77" w:rsidP="00B91402">
      <w:pPr>
        <w:spacing w:line="276" w:lineRule="auto"/>
        <w:jc w:val="both"/>
        <w:rPr>
          <w:rFonts w:ascii="Times New Roman" w:hAnsi="Times New Roman" w:cs="Times New Roman"/>
        </w:rPr>
      </w:pPr>
    </w:p>
    <w:p w14:paraId="404852C8"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En matière de lien, on retrouve un constat voisin, beaucoup de choses sont faites et la plupart des organisations concernées par notre enquête mettent en œuvre de nombreuses actions.</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2"/>
        <w:gridCol w:w="880"/>
        <w:gridCol w:w="992"/>
        <w:gridCol w:w="992"/>
      </w:tblGrid>
      <w:tr w:rsidR="00695D40" w:rsidRPr="000E33BF" w14:paraId="29E2D6B3" w14:textId="77777777" w:rsidTr="00162678">
        <w:trPr>
          <w:trHeight w:val="300"/>
        </w:trPr>
        <w:tc>
          <w:tcPr>
            <w:tcW w:w="6252" w:type="dxa"/>
            <w:shd w:val="clear" w:color="auto" w:fill="auto"/>
            <w:noWrap/>
            <w:vAlign w:val="bottom"/>
            <w:hideMark/>
          </w:tcPr>
          <w:p w14:paraId="319CA783" w14:textId="77777777" w:rsidR="00695D40" w:rsidRPr="000E33BF" w:rsidRDefault="00695D40" w:rsidP="00162678">
            <w:pPr>
              <w:rPr>
                <w:rFonts w:ascii="Times New Roman" w:eastAsia="Times New Roman" w:hAnsi="Times New Roman" w:cs="Times New Roman"/>
                <w:color w:val="000000"/>
              </w:rPr>
            </w:pPr>
          </w:p>
        </w:tc>
        <w:tc>
          <w:tcPr>
            <w:tcW w:w="851" w:type="dxa"/>
            <w:shd w:val="clear" w:color="auto" w:fill="auto"/>
            <w:noWrap/>
            <w:vAlign w:val="bottom"/>
            <w:hideMark/>
          </w:tcPr>
          <w:p w14:paraId="61D312C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oui</w:t>
            </w:r>
          </w:p>
        </w:tc>
        <w:tc>
          <w:tcPr>
            <w:tcW w:w="992" w:type="dxa"/>
            <w:shd w:val="clear" w:color="auto" w:fill="auto"/>
            <w:noWrap/>
            <w:vAlign w:val="bottom"/>
            <w:hideMark/>
          </w:tcPr>
          <w:p w14:paraId="7984FD8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en partie</w:t>
            </w:r>
          </w:p>
        </w:tc>
        <w:tc>
          <w:tcPr>
            <w:tcW w:w="992" w:type="dxa"/>
            <w:shd w:val="clear" w:color="auto" w:fill="auto"/>
            <w:noWrap/>
            <w:vAlign w:val="bottom"/>
            <w:hideMark/>
          </w:tcPr>
          <w:p w14:paraId="7DFE8FE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non</w:t>
            </w:r>
          </w:p>
        </w:tc>
      </w:tr>
      <w:tr w:rsidR="00695D40" w:rsidRPr="000E33BF" w14:paraId="2A74AADA" w14:textId="77777777" w:rsidTr="00162678">
        <w:trPr>
          <w:trHeight w:val="300"/>
        </w:trPr>
        <w:tc>
          <w:tcPr>
            <w:tcW w:w="6252" w:type="dxa"/>
            <w:shd w:val="clear" w:color="auto" w:fill="auto"/>
            <w:noWrap/>
            <w:vAlign w:val="bottom"/>
            <w:hideMark/>
          </w:tcPr>
          <w:p w14:paraId="7E5365C5"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bilans réguliers avec les élus sur les thèmes relatifs à la santé et la sécurité (lutte contre les incivilités, Duer…)</w:t>
            </w:r>
          </w:p>
        </w:tc>
        <w:tc>
          <w:tcPr>
            <w:tcW w:w="851" w:type="dxa"/>
            <w:shd w:val="clear" w:color="auto" w:fill="auto"/>
            <w:noWrap/>
            <w:vAlign w:val="bottom"/>
            <w:hideMark/>
          </w:tcPr>
          <w:p w14:paraId="6074211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84,70%</w:t>
            </w:r>
          </w:p>
        </w:tc>
        <w:tc>
          <w:tcPr>
            <w:tcW w:w="992" w:type="dxa"/>
            <w:shd w:val="clear" w:color="auto" w:fill="auto"/>
            <w:noWrap/>
            <w:vAlign w:val="bottom"/>
            <w:hideMark/>
          </w:tcPr>
          <w:p w14:paraId="62273A9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14,30%</w:t>
            </w:r>
          </w:p>
        </w:tc>
        <w:tc>
          <w:tcPr>
            <w:tcW w:w="992" w:type="dxa"/>
            <w:shd w:val="clear" w:color="auto" w:fill="auto"/>
            <w:noWrap/>
            <w:vAlign w:val="bottom"/>
            <w:hideMark/>
          </w:tcPr>
          <w:p w14:paraId="1600742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1,00%</w:t>
            </w:r>
          </w:p>
        </w:tc>
      </w:tr>
      <w:tr w:rsidR="00695D40" w:rsidRPr="000E33BF" w14:paraId="09F502C0" w14:textId="77777777" w:rsidTr="00162678">
        <w:trPr>
          <w:trHeight w:val="300"/>
        </w:trPr>
        <w:tc>
          <w:tcPr>
            <w:tcW w:w="6252" w:type="dxa"/>
            <w:shd w:val="clear" w:color="auto" w:fill="auto"/>
            <w:noWrap/>
            <w:vAlign w:val="bottom"/>
            <w:hideMark/>
          </w:tcPr>
          <w:p w14:paraId="58CB26E4"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gestion de conflits et/ou de prévention des risques psychosociaux</w:t>
            </w:r>
          </w:p>
        </w:tc>
        <w:tc>
          <w:tcPr>
            <w:tcW w:w="851" w:type="dxa"/>
            <w:shd w:val="clear" w:color="auto" w:fill="auto"/>
            <w:noWrap/>
            <w:vAlign w:val="bottom"/>
            <w:hideMark/>
          </w:tcPr>
          <w:p w14:paraId="049FCD6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77,60%</w:t>
            </w:r>
          </w:p>
        </w:tc>
        <w:tc>
          <w:tcPr>
            <w:tcW w:w="992" w:type="dxa"/>
            <w:shd w:val="clear" w:color="auto" w:fill="auto"/>
            <w:noWrap/>
            <w:vAlign w:val="bottom"/>
            <w:hideMark/>
          </w:tcPr>
          <w:p w14:paraId="019884D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19,40%</w:t>
            </w:r>
          </w:p>
        </w:tc>
        <w:tc>
          <w:tcPr>
            <w:tcW w:w="992" w:type="dxa"/>
            <w:shd w:val="clear" w:color="auto" w:fill="auto"/>
            <w:noWrap/>
            <w:vAlign w:val="bottom"/>
            <w:hideMark/>
          </w:tcPr>
          <w:p w14:paraId="532D3FC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3,10%</w:t>
            </w:r>
          </w:p>
        </w:tc>
      </w:tr>
      <w:tr w:rsidR="00695D40" w:rsidRPr="000E33BF" w14:paraId="6F7B6BA6" w14:textId="77777777" w:rsidTr="00162678">
        <w:trPr>
          <w:trHeight w:val="300"/>
        </w:trPr>
        <w:tc>
          <w:tcPr>
            <w:tcW w:w="6252" w:type="dxa"/>
            <w:shd w:val="clear" w:color="auto" w:fill="auto"/>
            <w:noWrap/>
            <w:vAlign w:val="bottom"/>
            <w:hideMark/>
          </w:tcPr>
          <w:p w14:paraId="177740F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formation des managers aux nouveaux enjeux et aux nouvelles pratiques managériales</w:t>
            </w:r>
          </w:p>
        </w:tc>
        <w:tc>
          <w:tcPr>
            <w:tcW w:w="851" w:type="dxa"/>
            <w:shd w:val="clear" w:color="auto" w:fill="auto"/>
            <w:noWrap/>
            <w:vAlign w:val="bottom"/>
            <w:hideMark/>
          </w:tcPr>
          <w:p w14:paraId="5503121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67,30%</w:t>
            </w:r>
          </w:p>
        </w:tc>
        <w:tc>
          <w:tcPr>
            <w:tcW w:w="992" w:type="dxa"/>
            <w:shd w:val="clear" w:color="auto" w:fill="auto"/>
            <w:noWrap/>
            <w:vAlign w:val="bottom"/>
            <w:hideMark/>
          </w:tcPr>
          <w:p w14:paraId="71D9496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28,60%</w:t>
            </w:r>
          </w:p>
        </w:tc>
        <w:tc>
          <w:tcPr>
            <w:tcW w:w="992" w:type="dxa"/>
            <w:shd w:val="clear" w:color="auto" w:fill="auto"/>
            <w:noWrap/>
            <w:vAlign w:val="bottom"/>
            <w:hideMark/>
          </w:tcPr>
          <w:p w14:paraId="37E1E0D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4,10%</w:t>
            </w:r>
          </w:p>
        </w:tc>
      </w:tr>
      <w:tr w:rsidR="00695D40" w:rsidRPr="000E33BF" w14:paraId="4B869FCB" w14:textId="77777777" w:rsidTr="00162678">
        <w:trPr>
          <w:trHeight w:val="300"/>
        </w:trPr>
        <w:tc>
          <w:tcPr>
            <w:tcW w:w="6252" w:type="dxa"/>
            <w:shd w:val="clear" w:color="auto" w:fill="auto"/>
            <w:noWrap/>
            <w:vAlign w:val="bottom"/>
            <w:hideMark/>
          </w:tcPr>
          <w:p w14:paraId="6CDDAD7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communication interne s'appuyant sur des supports variés (newsletters, réseaux sociaux…)</w:t>
            </w:r>
          </w:p>
        </w:tc>
        <w:tc>
          <w:tcPr>
            <w:tcW w:w="851" w:type="dxa"/>
            <w:shd w:val="clear" w:color="auto" w:fill="auto"/>
            <w:noWrap/>
            <w:vAlign w:val="bottom"/>
            <w:hideMark/>
          </w:tcPr>
          <w:p w14:paraId="0F53EF1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67,30%</w:t>
            </w:r>
          </w:p>
        </w:tc>
        <w:tc>
          <w:tcPr>
            <w:tcW w:w="992" w:type="dxa"/>
            <w:shd w:val="clear" w:color="auto" w:fill="auto"/>
            <w:noWrap/>
            <w:vAlign w:val="bottom"/>
            <w:hideMark/>
          </w:tcPr>
          <w:p w14:paraId="2207345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28,60%</w:t>
            </w:r>
          </w:p>
        </w:tc>
        <w:tc>
          <w:tcPr>
            <w:tcW w:w="992" w:type="dxa"/>
            <w:shd w:val="clear" w:color="auto" w:fill="auto"/>
            <w:noWrap/>
            <w:vAlign w:val="bottom"/>
            <w:hideMark/>
          </w:tcPr>
          <w:p w14:paraId="0970E82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4,10%</w:t>
            </w:r>
          </w:p>
        </w:tc>
      </w:tr>
      <w:tr w:rsidR="00695D40" w:rsidRPr="000E33BF" w14:paraId="57543580" w14:textId="77777777" w:rsidTr="00162678">
        <w:trPr>
          <w:trHeight w:val="300"/>
        </w:trPr>
        <w:tc>
          <w:tcPr>
            <w:tcW w:w="6252" w:type="dxa"/>
            <w:shd w:val="clear" w:color="auto" w:fill="auto"/>
            <w:noWrap/>
            <w:vAlign w:val="bottom"/>
            <w:hideMark/>
          </w:tcPr>
          <w:p w14:paraId="06AD0C1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L'implication des Irp dans les projets d'organisation et les groupes de travail</w:t>
            </w:r>
          </w:p>
        </w:tc>
        <w:tc>
          <w:tcPr>
            <w:tcW w:w="851" w:type="dxa"/>
            <w:shd w:val="clear" w:color="auto" w:fill="auto"/>
            <w:noWrap/>
            <w:vAlign w:val="bottom"/>
            <w:hideMark/>
          </w:tcPr>
          <w:p w14:paraId="37B64E1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59,20%</w:t>
            </w:r>
          </w:p>
        </w:tc>
        <w:tc>
          <w:tcPr>
            <w:tcW w:w="992" w:type="dxa"/>
            <w:shd w:val="clear" w:color="auto" w:fill="auto"/>
            <w:noWrap/>
            <w:vAlign w:val="bottom"/>
            <w:hideMark/>
          </w:tcPr>
          <w:p w14:paraId="67DE798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33,70%</w:t>
            </w:r>
          </w:p>
        </w:tc>
        <w:tc>
          <w:tcPr>
            <w:tcW w:w="992" w:type="dxa"/>
            <w:shd w:val="clear" w:color="auto" w:fill="auto"/>
            <w:noWrap/>
            <w:vAlign w:val="bottom"/>
            <w:hideMark/>
          </w:tcPr>
          <w:p w14:paraId="5CE8500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7,10%</w:t>
            </w:r>
          </w:p>
        </w:tc>
      </w:tr>
      <w:tr w:rsidR="00695D40" w:rsidRPr="000E33BF" w14:paraId="78012BB9" w14:textId="77777777" w:rsidTr="00162678">
        <w:trPr>
          <w:trHeight w:val="300"/>
        </w:trPr>
        <w:tc>
          <w:tcPr>
            <w:tcW w:w="6252" w:type="dxa"/>
            <w:shd w:val="clear" w:color="auto" w:fill="auto"/>
            <w:noWrap/>
            <w:vAlign w:val="bottom"/>
            <w:hideMark/>
          </w:tcPr>
          <w:p w14:paraId="54955879"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développement des espaces pour discuter du travail et des règles et procédures</w:t>
            </w:r>
          </w:p>
        </w:tc>
        <w:tc>
          <w:tcPr>
            <w:tcW w:w="851" w:type="dxa"/>
            <w:shd w:val="clear" w:color="auto" w:fill="auto"/>
            <w:noWrap/>
            <w:vAlign w:val="bottom"/>
            <w:hideMark/>
          </w:tcPr>
          <w:p w14:paraId="0070062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55,10%</w:t>
            </w:r>
          </w:p>
        </w:tc>
        <w:tc>
          <w:tcPr>
            <w:tcW w:w="992" w:type="dxa"/>
            <w:shd w:val="clear" w:color="auto" w:fill="auto"/>
            <w:noWrap/>
            <w:vAlign w:val="bottom"/>
            <w:hideMark/>
          </w:tcPr>
          <w:p w14:paraId="64A8EB1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32,70%</w:t>
            </w:r>
          </w:p>
        </w:tc>
        <w:tc>
          <w:tcPr>
            <w:tcW w:w="992" w:type="dxa"/>
            <w:shd w:val="clear" w:color="auto" w:fill="auto"/>
            <w:noWrap/>
            <w:vAlign w:val="bottom"/>
            <w:hideMark/>
          </w:tcPr>
          <w:p w14:paraId="3F4FEB4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12,20%</w:t>
            </w:r>
          </w:p>
        </w:tc>
      </w:tr>
      <w:tr w:rsidR="00695D40" w:rsidRPr="000E33BF" w14:paraId="39657114" w14:textId="77777777" w:rsidTr="00162678">
        <w:trPr>
          <w:trHeight w:val="300"/>
        </w:trPr>
        <w:tc>
          <w:tcPr>
            <w:tcW w:w="6252" w:type="dxa"/>
            <w:shd w:val="clear" w:color="auto" w:fill="auto"/>
            <w:noWrap/>
            <w:vAlign w:val="bottom"/>
            <w:hideMark/>
          </w:tcPr>
          <w:p w14:paraId="5FF755D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pour favoriser le dialogue entre usagers et salariés</w:t>
            </w:r>
          </w:p>
        </w:tc>
        <w:tc>
          <w:tcPr>
            <w:tcW w:w="851" w:type="dxa"/>
            <w:shd w:val="clear" w:color="auto" w:fill="auto"/>
            <w:noWrap/>
            <w:vAlign w:val="bottom"/>
            <w:hideMark/>
          </w:tcPr>
          <w:p w14:paraId="2EA5CA4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38,80%</w:t>
            </w:r>
          </w:p>
        </w:tc>
        <w:tc>
          <w:tcPr>
            <w:tcW w:w="992" w:type="dxa"/>
            <w:shd w:val="clear" w:color="auto" w:fill="auto"/>
            <w:noWrap/>
            <w:vAlign w:val="bottom"/>
            <w:hideMark/>
          </w:tcPr>
          <w:p w14:paraId="294E4BE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20,40%</w:t>
            </w:r>
          </w:p>
        </w:tc>
        <w:tc>
          <w:tcPr>
            <w:tcW w:w="992" w:type="dxa"/>
            <w:shd w:val="clear" w:color="auto" w:fill="auto"/>
            <w:noWrap/>
            <w:vAlign w:val="bottom"/>
            <w:hideMark/>
          </w:tcPr>
          <w:p w14:paraId="3BC2C0A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40,80%</w:t>
            </w:r>
          </w:p>
        </w:tc>
      </w:tr>
      <w:tr w:rsidR="00695D40" w:rsidRPr="000E33BF" w14:paraId="37D19594" w14:textId="77777777" w:rsidTr="00162678">
        <w:trPr>
          <w:trHeight w:val="300"/>
        </w:trPr>
        <w:tc>
          <w:tcPr>
            <w:tcW w:w="6252" w:type="dxa"/>
            <w:shd w:val="clear" w:color="auto" w:fill="auto"/>
            <w:noWrap/>
            <w:vAlign w:val="bottom"/>
            <w:hideMark/>
          </w:tcPr>
          <w:p w14:paraId="03AFDEC4"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team-building (cohésion d'équipe)</w:t>
            </w:r>
          </w:p>
        </w:tc>
        <w:tc>
          <w:tcPr>
            <w:tcW w:w="851" w:type="dxa"/>
            <w:shd w:val="clear" w:color="auto" w:fill="auto"/>
            <w:noWrap/>
            <w:vAlign w:val="bottom"/>
            <w:hideMark/>
          </w:tcPr>
          <w:p w14:paraId="0D01B82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37,80%</w:t>
            </w:r>
          </w:p>
        </w:tc>
        <w:tc>
          <w:tcPr>
            <w:tcW w:w="992" w:type="dxa"/>
            <w:shd w:val="clear" w:color="auto" w:fill="auto"/>
            <w:noWrap/>
            <w:vAlign w:val="bottom"/>
            <w:hideMark/>
          </w:tcPr>
          <w:p w14:paraId="16029DC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36,70%</w:t>
            </w:r>
          </w:p>
        </w:tc>
        <w:tc>
          <w:tcPr>
            <w:tcW w:w="992" w:type="dxa"/>
            <w:shd w:val="clear" w:color="auto" w:fill="auto"/>
            <w:noWrap/>
            <w:vAlign w:val="bottom"/>
            <w:hideMark/>
          </w:tcPr>
          <w:p w14:paraId="7D6C1E4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25,50%</w:t>
            </w:r>
          </w:p>
        </w:tc>
      </w:tr>
      <w:tr w:rsidR="00695D40" w:rsidRPr="000E33BF" w14:paraId="328748A4" w14:textId="77777777" w:rsidTr="00162678">
        <w:trPr>
          <w:trHeight w:val="300"/>
        </w:trPr>
        <w:tc>
          <w:tcPr>
            <w:tcW w:w="6252" w:type="dxa"/>
            <w:shd w:val="clear" w:color="auto" w:fill="auto"/>
            <w:noWrap/>
            <w:vAlign w:val="bottom"/>
            <w:hideMark/>
          </w:tcPr>
          <w:p w14:paraId="7E64333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expériences de type "Vis mon travail"</w:t>
            </w:r>
          </w:p>
        </w:tc>
        <w:tc>
          <w:tcPr>
            <w:tcW w:w="851" w:type="dxa"/>
            <w:shd w:val="clear" w:color="auto" w:fill="auto"/>
            <w:noWrap/>
            <w:vAlign w:val="bottom"/>
            <w:hideMark/>
          </w:tcPr>
          <w:p w14:paraId="650EC19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26,50%</w:t>
            </w:r>
          </w:p>
        </w:tc>
        <w:tc>
          <w:tcPr>
            <w:tcW w:w="992" w:type="dxa"/>
            <w:shd w:val="clear" w:color="auto" w:fill="auto"/>
            <w:noWrap/>
            <w:vAlign w:val="bottom"/>
            <w:hideMark/>
          </w:tcPr>
          <w:p w14:paraId="02269A0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29,60%</w:t>
            </w:r>
          </w:p>
        </w:tc>
        <w:tc>
          <w:tcPr>
            <w:tcW w:w="992" w:type="dxa"/>
            <w:shd w:val="clear" w:color="auto" w:fill="auto"/>
            <w:noWrap/>
            <w:vAlign w:val="bottom"/>
            <w:hideMark/>
          </w:tcPr>
          <w:p w14:paraId="1DF09B6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43,90%</w:t>
            </w:r>
          </w:p>
        </w:tc>
      </w:tr>
    </w:tbl>
    <w:p w14:paraId="0AFA9439" w14:textId="77777777" w:rsidR="00695D40" w:rsidRPr="000E33BF" w:rsidRDefault="00695D40" w:rsidP="00695D40">
      <w:pPr>
        <w:rPr>
          <w:rFonts w:ascii="Times New Roman" w:hAnsi="Times New Roman" w:cs="Times New Roman"/>
        </w:rPr>
      </w:pPr>
    </w:p>
    <w:p w14:paraId="4A14FD9D" w14:textId="77777777" w:rsidR="00695D40" w:rsidRDefault="00695D40" w:rsidP="00B91402">
      <w:pPr>
        <w:spacing w:line="276" w:lineRule="auto"/>
        <w:jc w:val="both"/>
        <w:rPr>
          <w:rFonts w:ascii="Times New Roman" w:hAnsi="Times New Roman" w:cs="Times New Roman"/>
        </w:rPr>
      </w:pPr>
      <w:r w:rsidRPr="000E33BF">
        <w:rPr>
          <w:rFonts w:ascii="Times New Roman" w:hAnsi="Times New Roman" w:cs="Times New Roman"/>
        </w:rPr>
        <w:t>Ces actions tiennent à la fois à une volonté de construire des décisions collectives ou partagées, mais aussi à agir sur les différentes dimensions du lien : aussi bien dans sa forme (outils de communication, relation de management, outils de prévention, actions de cohésion…) que dans les acteurs susceptibles d’être mobilisés (représentants du personnel, collègues, ligne managériale, relation à l’usager…).</w:t>
      </w:r>
    </w:p>
    <w:p w14:paraId="094EAE33" w14:textId="77777777" w:rsidR="00B92D77" w:rsidRPr="000E33BF" w:rsidRDefault="00B92D77" w:rsidP="00B91402">
      <w:pPr>
        <w:spacing w:line="276" w:lineRule="auto"/>
        <w:jc w:val="both"/>
        <w:rPr>
          <w:rFonts w:ascii="Times New Roman" w:hAnsi="Times New Roman" w:cs="Times New Roman"/>
        </w:rPr>
      </w:pPr>
    </w:p>
    <w:p w14:paraId="22523EA3"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Sur le plan de l’activité, les actions menées renvoient aux différentes formes de l’activité de ces organisations dont on ne peut que constater l’importante action dans ce domaine.</w:t>
      </w:r>
    </w:p>
    <w:p w14:paraId="4839BB72" w14:textId="77777777" w:rsidR="00695D40" w:rsidRPr="000E33BF" w:rsidRDefault="00695D40" w:rsidP="00695D40">
      <w:pPr>
        <w:jc w:val="both"/>
        <w:rPr>
          <w:rFonts w:ascii="Times New Roman" w:hAnsi="Times New Roman" w:cs="Times New Roman"/>
        </w:rPr>
      </w:pPr>
    </w:p>
    <w:tbl>
      <w:tblPr>
        <w:tblW w:w="9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4"/>
        <w:gridCol w:w="880"/>
        <w:gridCol w:w="880"/>
        <w:gridCol w:w="880"/>
      </w:tblGrid>
      <w:tr w:rsidR="00695D40" w:rsidRPr="000E33BF" w14:paraId="2519A7F4" w14:textId="77777777" w:rsidTr="00B92D77">
        <w:trPr>
          <w:trHeight w:val="300"/>
        </w:trPr>
        <w:tc>
          <w:tcPr>
            <w:tcW w:w="6394" w:type="dxa"/>
            <w:shd w:val="clear" w:color="auto" w:fill="auto"/>
            <w:noWrap/>
            <w:vAlign w:val="bottom"/>
            <w:hideMark/>
          </w:tcPr>
          <w:p w14:paraId="69D8E226" w14:textId="77777777" w:rsidR="00695D40" w:rsidRPr="000E33BF" w:rsidRDefault="00695D40" w:rsidP="00162678">
            <w:pPr>
              <w:rPr>
                <w:rFonts w:ascii="Times New Roman" w:eastAsia="Times New Roman" w:hAnsi="Times New Roman" w:cs="Times New Roman"/>
                <w:color w:val="000000"/>
              </w:rPr>
            </w:pPr>
          </w:p>
        </w:tc>
        <w:tc>
          <w:tcPr>
            <w:tcW w:w="880" w:type="dxa"/>
            <w:shd w:val="clear" w:color="auto" w:fill="auto"/>
            <w:noWrap/>
            <w:vAlign w:val="bottom"/>
            <w:hideMark/>
          </w:tcPr>
          <w:p w14:paraId="4068AE8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oui</w:t>
            </w:r>
          </w:p>
        </w:tc>
        <w:tc>
          <w:tcPr>
            <w:tcW w:w="880" w:type="dxa"/>
            <w:shd w:val="clear" w:color="auto" w:fill="auto"/>
            <w:noWrap/>
            <w:vAlign w:val="bottom"/>
            <w:hideMark/>
          </w:tcPr>
          <w:p w14:paraId="0AFD8D3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en partie</w:t>
            </w:r>
          </w:p>
        </w:tc>
        <w:tc>
          <w:tcPr>
            <w:tcW w:w="880" w:type="dxa"/>
            <w:shd w:val="clear" w:color="auto" w:fill="auto"/>
            <w:noWrap/>
            <w:vAlign w:val="bottom"/>
            <w:hideMark/>
          </w:tcPr>
          <w:p w14:paraId="3C1FA56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non</w:t>
            </w:r>
          </w:p>
        </w:tc>
      </w:tr>
      <w:tr w:rsidR="00695D40" w:rsidRPr="000E33BF" w14:paraId="2029FB23" w14:textId="77777777" w:rsidTr="00B92D77">
        <w:trPr>
          <w:trHeight w:val="300"/>
        </w:trPr>
        <w:tc>
          <w:tcPr>
            <w:tcW w:w="6394" w:type="dxa"/>
            <w:shd w:val="clear" w:color="auto" w:fill="auto"/>
            <w:noWrap/>
            <w:vAlign w:val="bottom"/>
            <w:hideMark/>
          </w:tcPr>
          <w:p w14:paraId="644D0A5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réunions de service permettant d'informer régulièrement</w:t>
            </w:r>
          </w:p>
        </w:tc>
        <w:tc>
          <w:tcPr>
            <w:tcW w:w="880" w:type="dxa"/>
            <w:shd w:val="clear" w:color="auto" w:fill="auto"/>
            <w:noWrap/>
            <w:vAlign w:val="bottom"/>
            <w:hideMark/>
          </w:tcPr>
          <w:p w14:paraId="7A91949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82,70%</w:t>
            </w:r>
          </w:p>
        </w:tc>
        <w:tc>
          <w:tcPr>
            <w:tcW w:w="880" w:type="dxa"/>
            <w:shd w:val="clear" w:color="auto" w:fill="auto"/>
            <w:noWrap/>
            <w:vAlign w:val="bottom"/>
            <w:hideMark/>
          </w:tcPr>
          <w:p w14:paraId="3DFF97B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17,30%</w:t>
            </w:r>
          </w:p>
        </w:tc>
        <w:tc>
          <w:tcPr>
            <w:tcW w:w="880" w:type="dxa"/>
            <w:shd w:val="clear" w:color="auto" w:fill="auto"/>
            <w:noWrap/>
            <w:vAlign w:val="bottom"/>
            <w:hideMark/>
          </w:tcPr>
          <w:p w14:paraId="116D10C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0,00%</w:t>
            </w:r>
          </w:p>
        </w:tc>
      </w:tr>
      <w:tr w:rsidR="00695D40" w:rsidRPr="000E33BF" w14:paraId="791DD6E5" w14:textId="77777777" w:rsidTr="00B92D77">
        <w:trPr>
          <w:trHeight w:val="300"/>
        </w:trPr>
        <w:tc>
          <w:tcPr>
            <w:tcW w:w="6394" w:type="dxa"/>
            <w:shd w:val="clear" w:color="auto" w:fill="auto"/>
            <w:noWrap/>
            <w:vAlign w:val="bottom"/>
            <w:hideMark/>
          </w:tcPr>
          <w:p w14:paraId="05943AD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L'affichage et l'explication de la politique de rémunération</w:t>
            </w:r>
          </w:p>
        </w:tc>
        <w:tc>
          <w:tcPr>
            <w:tcW w:w="880" w:type="dxa"/>
            <w:shd w:val="clear" w:color="auto" w:fill="auto"/>
            <w:noWrap/>
            <w:vAlign w:val="bottom"/>
            <w:hideMark/>
          </w:tcPr>
          <w:p w14:paraId="22A13A3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79,60%</w:t>
            </w:r>
          </w:p>
        </w:tc>
        <w:tc>
          <w:tcPr>
            <w:tcW w:w="880" w:type="dxa"/>
            <w:shd w:val="clear" w:color="auto" w:fill="auto"/>
            <w:noWrap/>
            <w:vAlign w:val="bottom"/>
            <w:hideMark/>
          </w:tcPr>
          <w:p w14:paraId="1E443FF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17,30%</w:t>
            </w:r>
          </w:p>
        </w:tc>
        <w:tc>
          <w:tcPr>
            <w:tcW w:w="880" w:type="dxa"/>
            <w:shd w:val="clear" w:color="auto" w:fill="auto"/>
            <w:noWrap/>
            <w:vAlign w:val="bottom"/>
            <w:hideMark/>
          </w:tcPr>
          <w:p w14:paraId="3B564EE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3,10%</w:t>
            </w:r>
          </w:p>
        </w:tc>
      </w:tr>
      <w:tr w:rsidR="00695D40" w:rsidRPr="000E33BF" w14:paraId="7DA5CC30" w14:textId="77777777" w:rsidTr="00B92D77">
        <w:trPr>
          <w:trHeight w:val="300"/>
        </w:trPr>
        <w:tc>
          <w:tcPr>
            <w:tcW w:w="6394" w:type="dxa"/>
            <w:shd w:val="clear" w:color="auto" w:fill="auto"/>
            <w:noWrap/>
            <w:vAlign w:val="bottom"/>
            <w:hideMark/>
          </w:tcPr>
          <w:p w14:paraId="08CA0D6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visant à réguler la charge de travail</w:t>
            </w:r>
          </w:p>
        </w:tc>
        <w:tc>
          <w:tcPr>
            <w:tcW w:w="880" w:type="dxa"/>
            <w:shd w:val="clear" w:color="auto" w:fill="auto"/>
            <w:noWrap/>
            <w:vAlign w:val="bottom"/>
            <w:hideMark/>
          </w:tcPr>
          <w:p w14:paraId="4A6FCAD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72,40%</w:t>
            </w:r>
          </w:p>
        </w:tc>
        <w:tc>
          <w:tcPr>
            <w:tcW w:w="880" w:type="dxa"/>
            <w:shd w:val="clear" w:color="auto" w:fill="auto"/>
            <w:noWrap/>
            <w:vAlign w:val="bottom"/>
            <w:hideMark/>
          </w:tcPr>
          <w:p w14:paraId="3DC6092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26,50%</w:t>
            </w:r>
          </w:p>
        </w:tc>
        <w:tc>
          <w:tcPr>
            <w:tcW w:w="880" w:type="dxa"/>
            <w:shd w:val="clear" w:color="auto" w:fill="auto"/>
            <w:noWrap/>
            <w:vAlign w:val="bottom"/>
            <w:hideMark/>
          </w:tcPr>
          <w:p w14:paraId="7158FB1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1,00%</w:t>
            </w:r>
          </w:p>
        </w:tc>
      </w:tr>
      <w:tr w:rsidR="00695D40" w:rsidRPr="000E33BF" w14:paraId="5F20905B" w14:textId="77777777" w:rsidTr="00B92D77">
        <w:trPr>
          <w:trHeight w:val="300"/>
        </w:trPr>
        <w:tc>
          <w:tcPr>
            <w:tcW w:w="6394" w:type="dxa"/>
            <w:shd w:val="clear" w:color="auto" w:fill="auto"/>
            <w:noWrap/>
            <w:vAlign w:val="bottom"/>
            <w:hideMark/>
          </w:tcPr>
          <w:p w14:paraId="5C975309"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permettant d'adapter le travail en fonction de l'évolution des compétences des salariés </w:t>
            </w:r>
          </w:p>
        </w:tc>
        <w:tc>
          <w:tcPr>
            <w:tcW w:w="880" w:type="dxa"/>
            <w:shd w:val="clear" w:color="auto" w:fill="auto"/>
            <w:noWrap/>
            <w:vAlign w:val="bottom"/>
            <w:hideMark/>
          </w:tcPr>
          <w:p w14:paraId="3459550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69,40%</w:t>
            </w:r>
          </w:p>
        </w:tc>
        <w:tc>
          <w:tcPr>
            <w:tcW w:w="880" w:type="dxa"/>
            <w:shd w:val="clear" w:color="auto" w:fill="auto"/>
            <w:noWrap/>
            <w:vAlign w:val="bottom"/>
            <w:hideMark/>
          </w:tcPr>
          <w:p w14:paraId="621F3EA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29,60%</w:t>
            </w:r>
          </w:p>
        </w:tc>
        <w:tc>
          <w:tcPr>
            <w:tcW w:w="880" w:type="dxa"/>
            <w:shd w:val="clear" w:color="auto" w:fill="auto"/>
            <w:noWrap/>
            <w:vAlign w:val="bottom"/>
            <w:hideMark/>
          </w:tcPr>
          <w:p w14:paraId="63B2D84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1,00%</w:t>
            </w:r>
          </w:p>
        </w:tc>
      </w:tr>
      <w:tr w:rsidR="00695D40" w:rsidRPr="000E33BF" w14:paraId="7D5305C7" w14:textId="77777777" w:rsidTr="00B92D77">
        <w:trPr>
          <w:trHeight w:val="300"/>
        </w:trPr>
        <w:tc>
          <w:tcPr>
            <w:tcW w:w="6394" w:type="dxa"/>
            <w:shd w:val="clear" w:color="auto" w:fill="auto"/>
            <w:noWrap/>
            <w:vAlign w:val="bottom"/>
            <w:hideMark/>
          </w:tcPr>
          <w:p w14:paraId="7F4EEE76"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mise en place d'organisations visant à varier les tâches</w:t>
            </w:r>
          </w:p>
        </w:tc>
        <w:tc>
          <w:tcPr>
            <w:tcW w:w="880" w:type="dxa"/>
            <w:shd w:val="clear" w:color="auto" w:fill="auto"/>
            <w:noWrap/>
            <w:vAlign w:val="bottom"/>
            <w:hideMark/>
          </w:tcPr>
          <w:p w14:paraId="121F2B4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59,20%</w:t>
            </w:r>
          </w:p>
        </w:tc>
        <w:tc>
          <w:tcPr>
            <w:tcW w:w="880" w:type="dxa"/>
            <w:shd w:val="clear" w:color="auto" w:fill="auto"/>
            <w:noWrap/>
            <w:vAlign w:val="bottom"/>
            <w:hideMark/>
          </w:tcPr>
          <w:p w14:paraId="50CC8A7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36,70%</w:t>
            </w:r>
          </w:p>
        </w:tc>
        <w:tc>
          <w:tcPr>
            <w:tcW w:w="880" w:type="dxa"/>
            <w:shd w:val="clear" w:color="auto" w:fill="auto"/>
            <w:noWrap/>
            <w:vAlign w:val="bottom"/>
            <w:hideMark/>
          </w:tcPr>
          <w:p w14:paraId="51E946E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4,10%</w:t>
            </w:r>
          </w:p>
        </w:tc>
      </w:tr>
      <w:tr w:rsidR="00695D40" w:rsidRPr="000E33BF" w14:paraId="008F2FDC" w14:textId="77777777" w:rsidTr="00B92D77">
        <w:trPr>
          <w:trHeight w:val="300"/>
        </w:trPr>
        <w:tc>
          <w:tcPr>
            <w:tcW w:w="6394" w:type="dxa"/>
            <w:shd w:val="clear" w:color="auto" w:fill="auto"/>
            <w:noWrap/>
            <w:vAlign w:val="bottom"/>
            <w:hideMark/>
          </w:tcPr>
          <w:p w14:paraId="7511A404"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d'amélioration de la qualité du travail </w:t>
            </w:r>
          </w:p>
        </w:tc>
        <w:tc>
          <w:tcPr>
            <w:tcW w:w="880" w:type="dxa"/>
            <w:shd w:val="clear" w:color="auto" w:fill="auto"/>
            <w:noWrap/>
            <w:vAlign w:val="bottom"/>
            <w:hideMark/>
          </w:tcPr>
          <w:p w14:paraId="40CE2FE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59,20%</w:t>
            </w:r>
          </w:p>
        </w:tc>
        <w:tc>
          <w:tcPr>
            <w:tcW w:w="880" w:type="dxa"/>
            <w:shd w:val="clear" w:color="auto" w:fill="auto"/>
            <w:noWrap/>
            <w:vAlign w:val="bottom"/>
            <w:hideMark/>
          </w:tcPr>
          <w:p w14:paraId="411093E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28,60%</w:t>
            </w:r>
          </w:p>
        </w:tc>
        <w:tc>
          <w:tcPr>
            <w:tcW w:w="880" w:type="dxa"/>
            <w:shd w:val="clear" w:color="auto" w:fill="auto"/>
            <w:noWrap/>
            <w:vAlign w:val="bottom"/>
            <w:hideMark/>
          </w:tcPr>
          <w:p w14:paraId="3406B65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12,20%</w:t>
            </w:r>
          </w:p>
        </w:tc>
      </w:tr>
      <w:tr w:rsidR="00695D40" w:rsidRPr="000E33BF" w14:paraId="22CFC418" w14:textId="77777777" w:rsidTr="00B92D77">
        <w:trPr>
          <w:trHeight w:val="300"/>
        </w:trPr>
        <w:tc>
          <w:tcPr>
            <w:tcW w:w="6394" w:type="dxa"/>
            <w:shd w:val="clear" w:color="auto" w:fill="auto"/>
            <w:noWrap/>
            <w:vAlign w:val="bottom"/>
            <w:hideMark/>
          </w:tcPr>
          <w:p w14:paraId="102BBA2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lastRenderedPageBreak/>
              <w:t>Des actions permettant de valoriser le travail et l'implication des équipes</w:t>
            </w:r>
          </w:p>
        </w:tc>
        <w:tc>
          <w:tcPr>
            <w:tcW w:w="880" w:type="dxa"/>
            <w:shd w:val="clear" w:color="auto" w:fill="auto"/>
            <w:noWrap/>
            <w:vAlign w:val="bottom"/>
            <w:hideMark/>
          </w:tcPr>
          <w:p w14:paraId="7890481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54,10%</w:t>
            </w:r>
          </w:p>
        </w:tc>
        <w:tc>
          <w:tcPr>
            <w:tcW w:w="880" w:type="dxa"/>
            <w:shd w:val="clear" w:color="auto" w:fill="auto"/>
            <w:noWrap/>
            <w:vAlign w:val="bottom"/>
            <w:hideMark/>
          </w:tcPr>
          <w:p w14:paraId="522AD0B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39,80%</w:t>
            </w:r>
          </w:p>
        </w:tc>
        <w:tc>
          <w:tcPr>
            <w:tcW w:w="880" w:type="dxa"/>
            <w:shd w:val="clear" w:color="auto" w:fill="auto"/>
            <w:noWrap/>
            <w:vAlign w:val="bottom"/>
            <w:hideMark/>
          </w:tcPr>
          <w:p w14:paraId="4F95043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6,10%</w:t>
            </w:r>
          </w:p>
        </w:tc>
      </w:tr>
      <w:tr w:rsidR="00695D40" w:rsidRPr="000E33BF" w14:paraId="40E8E528" w14:textId="77777777" w:rsidTr="00B92D77">
        <w:trPr>
          <w:trHeight w:val="300"/>
        </w:trPr>
        <w:tc>
          <w:tcPr>
            <w:tcW w:w="6394" w:type="dxa"/>
            <w:shd w:val="clear" w:color="auto" w:fill="auto"/>
            <w:noWrap/>
            <w:vAlign w:val="bottom"/>
            <w:hideMark/>
          </w:tcPr>
          <w:p w14:paraId="17A287D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participation des équipes aux décisions et aux projets</w:t>
            </w:r>
          </w:p>
        </w:tc>
        <w:tc>
          <w:tcPr>
            <w:tcW w:w="880" w:type="dxa"/>
            <w:shd w:val="clear" w:color="auto" w:fill="auto"/>
            <w:noWrap/>
            <w:vAlign w:val="bottom"/>
            <w:hideMark/>
          </w:tcPr>
          <w:p w14:paraId="514202A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54,10%</w:t>
            </w:r>
          </w:p>
        </w:tc>
        <w:tc>
          <w:tcPr>
            <w:tcW w:w="880" w:type="dxa"/>
            <w:shd w:val="clear" w:color="auto" w:fill="auto"/>
            <w:noWrap/>
            <w:vAlign w:val="bottom"/>
            <w:hideMark/>
          </w:tcPr>
          <w:p w14:paraId="6C6C4EF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40,80%</w:t>
            </w:r>
          </w:p>
        </w:tc>
        <w:tc>
          <w:tcPr>
            <w:tcW w:w="880" w:type="dxa"/>
            <w:shd w:val="clear" w:color="auto" w:fill="auto"/>
            <w:noWrap/>
            <w:vAlign w:val="bottom"/>
            <w:hideMark/>
          </w:tcPr>
          <w:p w14:paraId="121EC14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5,10%</w:t>
            </w:r>
          </w:p>
        </w:tc>
      </w:tr>
      <w:tr w:rsidR="00695D40" w:rsidRPr="000E33BF" w14:paraId="47CE15A8" w14:textId="77777777" w:rsidTr="00B92D77">
        <w:trPr>
          <w:trHeight w:val="300"/>
        </w:trPr>
        <w:tc>
          <w:tcPr>
            <w:tcW w:w="6394" w:type="dxa"/>
            <w:shd w:val="clear" w:color="auto" w:fill="auto"/>
            <w:noWrap/>
            <w:vAlign w:val="bottom"/>
            <w:hideMark/>
          </w:tcPr>
          <w:p w14:paraId="41AC03C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Le management visuel</w:t>
            </w:r>
          </w:p>
        </w:tc>
        <w:tc>
          <w:tcPr>
            <w:tcW w:w="880" w:type="dxa"/>
            <w:shd w:val="clear" w:color="auto" w:fill="auto"/>
            <w:noWrap/>
            <w:vAlign w:val="bottom"/>
            <w:hideMark/>
          </w:tcPr>
          <w:p w14:paraId="7F18BCE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53,10%</w:t>
            </w:r>
          </w:p>
        </w:tc>
        <w:tc>
          <w:tcPr>
            <w:tcW w:w="880" w:type="dxa"/>
            <w:shd w:val="clear" w:color="auto" w:fill="auto"/>
            <w:noWrap/>
            <w:vAlign w:val="bottom"/>
            <w:hideMark/>
          </w:tcPr>
          <w:p w14:paraId="731305A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38,80%</w:t>
            </w:r>
          </w:p>
        </w:tc>
        <w:tc>
          <w:tcPr>
            <w:tcW w:w="880" w:type="dxa"/>
            <w:shd w:val="clear" w:color="auto" w:fill="auto"/>
            <w:noWrap/>
            <w:vAlign w:val="bottom"/>
            <w:hideMark/>
          </w:tcPr>
          <w:p w14:paraId="3BCD234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8,20%</w:t>
            </w:r>
          </w:p>
        </w:tc>
      </w:tr>
      <w:tr w:rsidR="00695D40" w:rsidRPr="000E33BF" w14:paraId="4105AB50" w14:textId="77777777" w:rsidTr="00B92D77">
        <w:trPr>
          <w:trHeight w:val="300"/>
        </w:trPr>
        <w:tc>
          <w:tcPr>
            <w:tcW w:w="6394" w:type="dxa"/>
            <w:shd w:val="clear" w:color="auto" w:fill="auto"/>
            <w:noWrap/>
            <w:vAlign w:val="bottom"/>
            <w:hideMark/>
          </w:tcPr>
          <w:p w14:paraId="4821ABD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connaissance précise par les acteurs des rôles de chacun </w:t>
            </w:r>
          </w:p>
        </w:tc>
        <w:tc>
          <w:tcPr>
            <w:tcW w:w="880" w:type="dxa"/>
            <w:shd w:val="clear" w:color="auto" w:fill="auto"/>
            <w:noWrap/>
            <w:vAlign w:val="bottom"/>
            <w:hideMark/>
          </w:tcPr>
          <w:p w14:paraId="4ECA40D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52,00%</w:t>
            </w:r>
          </w:p>
        </w:tc>
        <w:tc>
          <w:tcPr>
            <w:tcW w:w="880" w:type="dxa"/>
            <w:shd w:val="clear" w:color="auto" w:fill="auto"/>
            <w:noWrap/>
            <w:vAlign w:val="bottom"/>
            <w:hideMark/>
          </w:tcPr>
          <w:p w14:paraId="4025EA2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44,90%</w:t>
            </w:r>
          </w:p>
        </w:tc>
        <w:tc>
          <w:tcPr>
            <w:tcW w:w="880" w:type="dxa"/>
            <w:shd w:val="clear" w:color="auto" w:fill="auto"/>
            <w:noWrap/>
            <w:vAlign w:val="bottom"/>
            <w:hideMark/>
          </w:tcPr>
          <w:p w14:paraId="099555B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3,10%</w:t>
            </w:r>
          </w:p>
        </w:tc>
      </w:tr>
      <w:tr w:rsidR="00695D40" w:rsidRPr="000E33BF" w14:paraId="1392E9A2" w14:textId="77777777" w:rsidTr="00B92D77">
        <w:trPr>
          <w:trHeight w:val="300"/>
        </w:trPr>
        <w:tc>
          <w:tcPr>
            <w:tcW w:w="6394" w:type="dxa"/>
            <w:shd w:val="clear" w:color="auto" w:fill="auto"/>
            <w:noWrap/>
            <w:vAlign w:val="bottom"/>
            <w:hideMark/>
          </w:tcPr>
          <w:p w14:paraId="1189FC8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simplification des circuits de travail interne</w:t>
            </w:r>
          </w:p>
        </w:tc>
        <w:tc>
          <w:tcPr>
            <w:tcW w:w="880" w:type="dxa"/>
            <w:shd w:val="clear" w:color="auto" w:fill="auto"/>
            <w:noWrap/>
            <w:vAlign w:val="bottom"/>
            <w:hideMark/>
          </w:tcPr>
          <w:p w14:paraId="75A8653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46,90%</w:t>
            </w:r>
          </w:p>
        </w:tc>
        <w:tc>
          <w:tcPr>
            <w:tcW w:w="880" w:type="dxa"/>
            <w:shd w:val="clear" w:color="auto" w:fill="auto"/>
            <w:noWrap/>
            <w:vAlign w:val="bottom"/>
            <w:hideMark/>
          </w:tcPr>
          <w:p w14:paraId="583F909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49,00%</w:t>
            </w:r>
          </w:p>
        </w:tc>
        <w:tc>
          <w:tcPr>
            <w:tcW w:w="880" w:type="dxa"/>
            <w:shd w:val="clear" w:color="auto" w:fill="auto"/>
            <w:noWrap/>
            <w:vAlign w:val="bottom"/>
            <w:hideMark/>
          </w:tcPr>
          <w:p w14:paraId="199C130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4,10%</w:t>
            </w:r>
          </w:p>
        </w:tc>
      </w:tr>
      <w:tr w:rsidR="00695D40" w:rsidRPr="000E33BF" w14:paraId="644C9875" w14:textId="77777777" w:rsidTr="00B92D77">
        <w:trPr>
          <w:trHeight w:val="300"/>
        </w:trPr>
        <w:tc>
          <w:tcPr>
            <w:tcW w:w="6394" w:type="dxa"/>
            <w:shd w:val="clear" w:color="auto" w:fill="auto"/>
            <w:noWrap/>
            <w:vAlign w:val="bottom"/>
            <w:hideMark/>
          </w:tcPr>
          <w:p w14:paraId="0619A985"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visant à promouvoir l'autonomie et la responsabilisation </w:t>
            </w:r>
          </w:p>
        </w:tc>
        <w:tc>
          <w:tcPr>
            <w:tcW w:w="880" w:type="dxa"/>
            <w:shd w:val="clear" w:color="auto" w:fill="auto"/>
            <w:noWrap/>
            <w:vAlign w:val="bottom"/>
            <w:hideMark/>
          </w:tcPr>
          <w:p w14:paraId="2189199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43,90%</w:t>
            </w:r>
          </w:p>
        </w:tc>
        <w:tc>
          <w:tcPr>
            <w:tcW w:w="880" w:type="dxa"/>
            <w:shd w:val="clear" w:color="auto" w:fill="auto"/>
            <w:noWrap/>
            <w:vAlign w:val="bottom"/>
            <w:hideMark/>
          </w:tcPr>
          <w:p w14:paraId="23A7EAF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42,90%</w:t>
            </w:r>
          </w:p>
        </w:tc>
        <w:tc>
          <w:tcPr>
            <w:tcW w:w="880" w:type="dxa"/>
            <w:shd w:val="clear" w:color="auto" w:fill="auto"/>
            <w:noWrap/>
            <w:vAlign w:val="bottom"/>
            <w:hideMark/>
          </w:tcPr>
          <w:p w14:paraId="7BED93D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13,30%</w:t>
            </w:r>
          </w:p>
        </w:tc>
      </w:tr>
      <w:tr w:rsidR="00695D40" w:rsidRPr="000E33BF" w14:paraId="7E3C78B6" w14:textId="77777777" w:rsidTr="00B92D77">
        <w:trPr>
          <w:trHeight w:val="300"/>
        </w:trPr>
        <w:tc>
          <w:tcPr>
            <w:tcW w:w="6394" w:type="dxa"/>
            <w:shd w:val="clear" w:color="auto" w:fill="auto"/>
            <w:noWrap/>
            <w:vAlign w:val="bottom"/>
            <w:hideMark/>
          </w:tcPr>
          <w:p w14:paraId="6981B11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Le recensement des irritants et la mise en œuvre d'actions correctives</w:t>
            </w:r>
          </w:p>
        </w:tc>
        <w:tc>
          <w:tcPr>
            <w:tcW w:w="880" w:type="dxa"/>
            <w:shd w:val="clear" w:color="auto" w:fill="auto"/>
            <w:noWrap/>
            <w:vAlign w:val="bottom"/>
            <w:hideMark/>
          </w:tcPr>
          <w:p w14:paraId="2F74CC5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40,80%</w:t>
            </w:r>
          </w:p>
        </w:tc>
        <w:tc>
          <w:tcPr>
            <w:tcW w:w="880" w:type="dxa"/>
            <w:shd w:val="clear" w:color="auto" w:fill="auto"/>
            <w:noWrap/>
            <w:vAlign w:val="bottom"/>
            <w:hideMark/>
          </w:tcPr>
          <w:p w14:paraId="2ECF72B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44,90%</w:t>
            </w:r>
          </w:p>
        </w:tc>
        <w:tc>
          <w:tcPr>
            <w:tcW w:w="880" w:type="dxa"/>
            <w:shd w:val="clear" w:color="auto" w:fill="auto"/>
            <w:noWrap/>
            <w:vAlign w:val="bottom"/>
            <w:hideMark/>
          </w:tcPr>
          <w:p w14:paraId="67713CF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14,30%</w:t>
            </w:r>
          </w:p>
        </w:tc>
      </w:tr>
      <w:tr w:rsidR="00695D40" w:rsidRPr="000E33BF" w14:paraId="251C2C10" w14:textId="77777777" w:rsidTr="00B92D77">
        <w:trPr>
          <w:trHeight w:val="300"/>
        </w:trPr>
        <w:tc>
          <w:tcPr>
            <w:tcW w:w="6394" w:type="dxa"/>
            <w:shd w:val="clear" w:color="auto" w:fill="auto"/>
            <w:noWrap/>
            <w:vAlign w:val="bottom"/>
            <w:hideMark/>
          </w:tcPr>
          <w:p w14:paraId="70EFEC0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prise en compte de la charge cognitive et l'évolution de la polyvalence </w:t>
            </w:r>
          </w:p>
        </w:tc>
        <w:tc>
          <w:tcPr>
            <w:tcW w:w="880" w:type="dxa"/>
            <w:shd w:val="clear" w:color="auto" w:fill="auto"/>
            <w:noWrap/>
            <w:vAlign w:val="bottom"/>
            <w:hideMark/>
          </w:tcPr>
          <w:p w14:paraId="3F3EC9C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39,80%</w:t>
            </w:r>
          </w:p>
        </w:tc>
        <w:tc>
          <w:tcPr>
            <w:tcW w:w="880" w:type="dxa"/>
            <w:shd w:val="clear" w:color="auto" w:fill="auto"/>
            <w:noWrap/>
            <w:vAlign w:val="bottom"/>
            <w:hideMark/>
          </w:tcPr>
          <w:p w14:paraId="66D0575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48,00%</w:t>
            </w:r>
          </w:p>
        </w:tc>
        <w:tc>
          <w:tcPr>
            <w:tcW w:w="880" w:type="dxa"/>
            <w:shd w:val="clear" w:color="auto" w:fill="auto"/>
            <w:noWrap/>
            <w:vAlign w:val="bottom"/>
            <w:hideMark/>
          </w:tcPr>
          <w:p w14:paraId="61B2D82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12,20%</w:t>
            </w:r>
          </w:p>
        </w:tc>
      </w:tr>
      <w:tr w:rsidR="00695D40" w:rsidRPr="000E33BF" w14:paraId="39736AA4" w14:textId="77777777" w:rsidTr="00B92D77">
        <w:trPr>
          <w:trHeight w:val="300"/>
        </w:trPr>
        <w:tc>
          <w:tcPr>
            <w:tcW w:w="6394" w:type="dxa"/>
            <w:shd w:val="clear" w:color="auto" w:fill="auto"/>
            <w:noWrap/>
            <w:vAlign w:val="bottom"/>
            <w:hideMark/>
          </w:tcPr>
          <w:p w14:paraId="44D3230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innovantes dans lesquelles les salariés peuvent s'engager </w:t>
            </w:r>
          </w:p>
        </w:tc>
        <w:tc>
          <w:tcPr>
            <w:tcW w:w="880" w:type="dxa"/>
            <w:shd w:val="clear" w:color="auto" w:fill="auto"/>
            <w:noWrap/>
            <w:vAlign w:val="bottom"/>
            <w:hideMark/>
          </w:tcPr>
          <w:p w14:paraId="72F291E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33,70%</w:t>
            </w:r>
          </w:p>
        </w:tc>
        <w:tc>
          <w:tcPr>
            <w:tcW w:w="880" w:type="dxa"/>
            <w:shd w:val="clear" w:color="auto" w:fill="auto"/>
            <w:noWrap/>
            <w:vAlign w:val="bottom"/>
            <w:hideMark/>
          </w:tcPr>
          <w:p w14:paraId="5ED397F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35,70%</w:t>
            </w:r>
          </w:p>
        </w:tc>
        <w:tc>
          <w:tcPr>
            <w:tcW w:w="880" w:type="dxa"/>
            <w:shd w:val="clear" w:color="auto" w:fill="auto"/>
            <w:noWrap/>
            <w:vAlign w:val="bottom"/>
            <w:hideMark/>
          </w:tcPr>
          <w:p w14:paraId="7679CB2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30,60%</w:t>
            </w:r>
          </w:p>
        </w:tc>
      </w:tr>
      <w:tr w:rsidR="00695D40" w:rsidRPr="000E33BF" w14:paraId="1BA0D4D0" w14:textId="77777777" w:rsidTr="00B92D77">
        <w:trPr>
          <w:trHeight w:val="300"/>
        </w:trPr>
        <w:tc>
          <w:tcPr>
            <w:tcW w:w="6394" w:type="dxa"/>
            <w:shd w:val="clear" w:color="auto" w:fill="auto"/>
            <w:noWrap/>
            <w:vAlign w:val="bottom"/>
            <w:hideMark/>
          </w:tcPr>
          <w:p w14:paraId="1BCED665"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formations innovantes</w:t>
            </w:r>
          </w:p>
        </w:tc>
        <w:tc>
          <w:tcPr>
            <w:tcW w:w="880" w:type="dxa"/>
            <w:shd w:val="clear" w:color="auto" w:fill="auto"/>
            <w:noWrap/>
            <w:vAlign w:val="bottom"/>
            <w:hideMark/>
          </w:tcPr>
          <w:p w14:paraId="690398B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24,50%</w:t>
            </w:r>
          </w:p>
        </w:tc>
        <w:tc>
          <w:tcPr>
            <w:tcW w:w="880" w:type="dxa"/>
            <w:shd w:val="clear" w:color="auto" w:fill="auto"/>
            <w:noWrap/>
            <w:vAlign w:val="bottom"/>
            <w:hideMark/>
          </w:tcPr>
          <w:p w14:paraId="4A075F6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37,80%</w:t>
            </w:r>
          </w:p>
        </w:tc>
        <w:tc>
          <w:tcPr>
            <w:tcW w:w="880" w:type="dxa"/>
            <w:shd w:val="clear" w:color="auto" w:fill="auto"/>
            <w:noWrap/>
            <w:vAlign w:val="bottom"/>
            <w:hideMark/>
          </w:tcPr>
          <w:p w14:paraId="17E3DCF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37,80%</w:t>
            </w:r>
          </w:p>
        </w:tc>
      </w:tr>
      <w:tr w:rsidR="00695D40" w:rsidRPr="000E33BF" w14:paraId="0464FD24" w14:textId="77777777" w:rsidTr="00B92D77">
        <w:trPr>
          <w:trHeight w:val="300"/>
        </w:trPr>
        <w:tc>
          <w:tcPr>
            <w:tcW w:w="6394" w:type="dxa"/>
            <w:shd w:val="clear" w:color="auto" w:fill="auto"/>
            <w:noWrap/>
            <w:vAlign w:val="bottom"/>
            <w:hideMark/>
          </w:tcPr>
          <w:p w14:paraId="0410E45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L'utilisation d'outils d'animation digitale </w:t>
            </w:r>
          </w:p>
        </w:tc>
        <w:tc>
          <w:tcPr>
            <w:tcW w:w="880" w:type="dxa"/>
            <w:shd w:val="clear" w:color="auto" w:fill="auto"/>
            <w:noWrap/>
            <w:vAlign w:val="bottom"/>
            <w:hideMark/>
          </w:tcPr>
          <w:p w14:paraId="1713A61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14,30%</w:t>
            </w:r>
          </w:p>
        </w:tc>
        <w:tc>
          <w:tcPr>
            <w:tcW w:w="880" w:type="dxa"/>
            <w:shd w:val="clear" w:color="auto" w:fill="auto"/>
            <w:noWrap/>
            <w:vAlign w:val="bottom"/>
            <w:hideMark/>
          </w:tcPr>
          <w:p w14:paraId="67D839D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17,30%</w:t>
            </w:r>
          </w:p>
        </w:tc>
        <w:tc>
          <w:tcPr>
            <w:tcW w:w="880" w:type="dxa"/>
            <w:shd w:val="clear" w:color="auto" w:fill="auto"/>
            <w:noWrap/>
            <w:vAlign w:val="bottom"/>
            <w:hideMark/>
          </w:tcPr>
          <w:p w14:paraId="6D30CE3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68,40%</w:t>
            </w:r>
          </w:p>
        </w:tc>
      </w:tr>
      <w:tr w:rsidR="00695D40" w:rsidRPr="000E33BF" w14:paraId="4678D6AA" w14:textId="77777777" w:rsidTr="00B92D77">
        <w:trPr>
          <w:trHeight w:val="300"/>
        </w:trPr>
        <w:tc>
          <w:tcPr>
            <w:tcW w:w="6394" w:type="dxa"/>
            <w:shd w:val="clear" w:color="auto" w:fill="auto"/>
            <w:noWrap/>
            <w:vAlign w:val="bottom"/>
            <w:hideMark/>
          </w:tcPr>
          <w:p w14:paraId="1D6BDC8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mise en œuvre d'une plateforme collaborative </w:t>
            </w:r>
          </w:p>
        </w:tc>
        <w:tc>
          <w:tcPr>
            <w:tcW w:w="880" w:type="dxa"/>
            <w:shd w:val="clear" w:color="auto" w:fill="auto"/>
            <w:noWrap/>
            <w:vAlign w:val="bottom"/>
            <w:hideMark/>
          </w:tcPr>
          <w:p w14:paraId="4DF7346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8,20%</w:t>
            </w:r>
          </w:p>
        </w:tc>
        <w:tc>
          <w:tcPr>
            <w:tcW w:w="880" w:type="dxa"/>
            <w:shd w:val="clear" w:color="auto" w:fill="auto"/>
            <w:noWrap/>
            <w:vAlign w:val="bottom"/>
            <w:hideMark/>
          </w:tcPr>
          <w:p w14:paraId="1FA230B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22,40%</w:t>
            </w:r>
          </w:p>
        </w:tc>
        <w:tc>
          <w:tcPr>
            <w:tcW w:w="880" w:type="dxa"/>
            <w:shd w:val="clear" w:color="auto" w:fill="auto"/>
            <w:noWrap/>
            <w:vAlign w:val="bottom"/>
            <w:hideMark/>
          </w:tcPr>
          <w:p w14:paraId="2C3348B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69,40%</w:t>
            </w:r>
          </w:p>
        </w:tc>
      </w:tr>
      <w:tr w:rsidR="00B92D77" w:rsidRPr="000E33BF" w14:paraId="39B50C26" w14:textId="77777777" w:rsidTr="00B92D77">
        <w:trPr>
          <w:trHeight w:val="300"/>
        </w:trPr>
        <w:tc>
          <w:tcPr>
            <w:tcW w:w="6394" w:type="dxa"/>
            <w:shd w:val="clear" w:color="auto" w:fill="auto"/>
            <w:noWrap/>
            <w:vAlign w:val="bottom"/>
          </w:tcPr>
          <w:p w14:paraId="0270321D" w14:textId="2E5BC19D" w:rsidR="00B92D77" w:rsidRPr="000E33BF" w:rsidRDefault="00B92D77"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D'autres actions portant sur le contenu du travail</w:t>
            </w:r>
          </w:p>
        </w:tc>
        <w:tc>
          <w:tcPr>
            <w:tcW w:w="880" w:type="dxa"/>
            <w:shd w:val="clear" w:color="auto" w:fill="auto"/>
            <w:noWrap/>
            <w:vAlign w:val="bottom"/>
          </w:tcPr>
          <w:p w14:paraId="253F2B00" w14:textId="111F6826" w:rsidR="00B92D77" w:rsidRPr="000E33BF" w:rsidRDefault="00B92D77"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13,30%</w:t>
            </w:r>
          </w:p>
        </w:tc>
        <w:tc>
          <w:tcPr>
            <w:tcW w:w="880" w:type="dxa"/>
            <w:shd w:val="clear" w:color="auto" w:fill="auto"/>
            <w:noWrap/>
            <w:vAlign w:val="bottom"/>
          </w:tcPr>
          <w:p w14:paraId="036155C7" w14:textId="7CEB318C" w:rsidR="00B92D77" w:rsidRPr="000E33BF" w:rsidRDefault="00B92D77"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19,40%</w:t>
            </w:r>
          </w:p>
        </w:tc>
        <w:tc>
          <w:tcPr>
            <w:tcW w:w="880" w:type="dxa"/>
            <w:shd w:val="clear" w:color="auto" w:fill="auto"/>
            <w:noWrap/>
            <w:vAlign w:val="bottom"/>
          </w:tcPr>
          <w:p w14:paraId="4824754E" w14:textId="65D8CD74" w:rsidR="00B92D77" w:rsidRPr="000E33BF" w:rsidRDefault="00B92D77"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67,30%</w:t>
            </w:r>
          </w:p>
        </w:tc>
      </w:tr>
    </w:tbl>
    <w:p w14:paraId="24D01738" w14:textId="77777777" w:rsidR="00695D40" w:rsidRPr="000E33BF" w:rsidRDefault="00695D40" w:rsidP="00695D40">
      <w:pPr>
        <w:rPr>
          <w:rFonts w:ascii="Times New Roman" w:hAnsi="Times New Roman" w:cs="Times New Roman"/>
        </w:rPr>
      </w:pPr>
      <w:r w:rsidRPr="000E33BF">
        <w:rPr>
          <w:rFonts w:ascii="Times New Roman" w:hAnsi="Times New Roman" w:cs="Times New Roman"/>
        </w:rPr>
        <w:t xml:space="preserve"> </w:t>
      </w:r>
    </w:p>
    <w:p w14:paraId="5E17828E" w14:textId="77777777" w:rsidR="00695D40" w:rsidRDefault="00695D40" w:rsidP="00B91402">
      <w:pPr>
        <w:spacing w:line="276" w:lineRule="auto"/>
        <w:jc w:val="both"/>
        <w:rPr>
          <w:rFonts w:ascii="Times New Roman" w:hAnsi="Times New Roman" w:cs="Times New Roman"/>
        </w:rPr>
      </w:pPr>
      <w:r w:rsidRPr="000E33BF">
        <w:rPr>
          <w:rFonts w:ascii="Times New Roman" w:hAnsi="Times New Roman" w:cs="Times New Roman"/>
        </w:rPr>
        <w:t>Ces actions couvrent un large spectre allant de la compréhension de l’activité quotidienne (contenu du travail, charge de travail, autonomie, organisation du travail …) à des éléments plus périphériques (rémunération, innovation etc…).</w:t>
      </w:r>
    </w:p>
    <w:p w14:paraId="494ED63F" w14:textId="77777777" w:rsidR="00B92D77" w:rsidRPr="000E33BF" w:rsidRDefault="00B92D77" w:rsidP="00B91402">
      <w:pPr>
        <w:spacing w:line="276" w:lineRule="auto"/>
        <w:jc w:val="both"/>
        <w:rPr>
          <w:rFonts w:ascii="Times New Roman" w:hAnsi="Times New Roman" w:cs="Times New Roman"/>
        </w:rPr>
      </w:pPr>
    </w:p>
    <w:p w14:paraId="46F858CD" w14:textId="707E196F"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Enfin les actions relatives au confort des salariés s’inscrivent dans une large perspective qui tient aussi bien aux actions contribuant à l’équilibre des temps de vie (parentalité, travail à distance, respect des horaires, solidarité familiale et. ) qu’à l’aménagement des locaux (ergonomie, bureaux, espaces de convivialité etc. )</w:t>
      </w:r>
      <w:r w:rsidR="00B92D77">
        <w:rPr>
          <w:rFonts w:ascii="Times New Roman" w:hAnsi="Times New Roman" w:cs="Times New Roman"/>
        </w:rPr>
        <w:t>.</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9"/>
        <w:gridCol w:w="880"/>
        <w:gridCol w:w="880"/>
        <w:gridCol w:w="880"/>
      </w:tblGrid>
      <w:tr w:rsidR="00695D40" w:rsidRPr="000E33BF" w14:paraId="5F877F30" w14:textId="77777777" w:rsidTr="00162678">
        <w:trPr>
          <w:trHeight w:val="300"/>
        </w:trPr>
        <w:tc>
          <w:tcPr>
            <w:tcW w:w="6819" w:type="dxa"/>
            <w:shd w:val="clear" w:color="auto" w:fill="auto"/>
            <w:noWrap/>
            <w:vAlign w:val="bottom"/>
            <w:hideMark/>
          </w:tcPr>
          <w:p w14:paraId="40739ACC" w14:textId="77777777" w:rsidR="00695D40" w:rsidRPr="000E33BF" w:rsidRDefault="00695D40" w:rsidP="00162678">
            <w:pPr>
              <w:rPr>
                <w:rFonts w:ascii="Times New Roman" w:eastAsia="Times New Roman" w:hAnsi="Times New Roman" w:cs="Times New Roman"/>
                <w:color w:val="000000"/>
              </w:rPr>
            </w:pPr>
          </w:p>
        </w:tc>
        <w:tc>
          <w:tcPr>
            <w:tcW w:w="851" w:type="dxa"/>
            <w:shd w:val="clear" w:color="auto" w:fill="auto"/>
            <w:noWrap/>
            <w:vAlign w:val="bottom"/>
            <w:hideMark/>
          </w:tcPr>
          <w:p w14:paraId="2E06544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oui</w:t>
            </w:r>
          </w:p>
        </w:tc>
        <w:tc>
          <w:tcPr>
            <w:tcW w:w="799" w:type="dxa"/>
            <w:shd w:val="clear" w:color="auto" w:fill="auto"/>
            <w:noWrap/>
            <w:vAlign w:val="bottom"/>
            <w:hideMark/>
          </w:tcPr>
          <w:p w14:paraId="43DC35A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en partie</w:t>
            </w:r>
          </w:p>
        </w:tc>
        <w:tc>
          <w:tcPr>
            <w:tcW w:w="760" w:type="dxa"/>
            <w:shd w:val="clear" w:color="auto" w:fill="auto"/>
            <w:noWrap/>
            <w:vAlign w:val="bottom"/>
            <w:hideMark/>
          </w:tcPr>
          <w:p w14:paraId="72025BC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non</w:t>
            </w:r>
          </w:p>
        </w:tc>
      </w:tr>
      <w:tr w:rsidR="00695D40" w:rsidRPr="000E33BF" w14:paraId="159CEDB3" w14:textId="77777777" w:rsidTr="00162678">
        <w:trPr>
          <w:trHeight w:val="300"/>
        </w:trPr>
        <w:tc>
          <w:tcPr>
            <w:tcW w:w="6819" w:type="dxa"/>
            <w:shd w:val="clear" w:color="auto" w:fill="auto"/>
            <w:noWrap/>
            <w:vAlign w:val="bottom"/>
            <w:hideMark/>
          </w:tcPr>
          <w:p w14:paraId="6C27408F"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facilités pour la gestion de la parentalité </w:t>
            </w:r>
          </w:p>
        </w:tc>
        <w:tc>
          <w:tcPr>
            <w:tcW w:w="851" w:type="dxa"/>
            <w:shd w:val="clear" w:color="auto" w:fill="auto"/>
            <w:noWrap/>
            <w:vAlign w:val="bottom"/>
            <w:hideMark/>
          </w:tcPr>
          <w:p w14:paraId="38E48BE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95,90%</w:t>
            </w:r>
          </w:p>
        </w:tc>
        <w:tc>
          <w:tcPr>
            <w:tcW w:w="799" w:type="dxa"/>
            <w:shd w:val="clear" w:color="auto" w:fill="auto"/>
            <w:noWrap/>
            <w:vAlign w:val="bottom"/>
            <w:hideMark/>
          </w:tcPr>
          <w:p w14:paraId="32D83AF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3,10%</w:t>
            </w:r>
          </w:p>
        </w:tc>
        <w:tc>
          <w:tcPr>
            <w:tcW w:w="760" w:type="dxa"/>
            <w:shd w:val="clear" w:color="auto" w:fill="auto"/>
            <w:noWrap/>
            <w:vAlign w:val="bottom"/>
            <w:hideMark/>
          </w:tcPr>
          <w:p w14:paraId="2C5A0C7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1,00%</w:t>
            </w:r>
          </w:p>
        </w:tc>
      </w:tr>
      <w:tr w:rsidR="00695D40" w:rsidRPr="000E33BF" w14:paraId="6F85F957" w14:textId="77777777" w:rsidTr="00162678">
        <w:trPr>
          <w:trHeight w:val="300"/>
        </w:trPr>
        <w:tc>
          <w:tcPr>
            <w:tcW w:w="6819" w:type="dxa"/>
            <w:shd w:val="clear" w:color="auto" w:fill="auto"/>
            <w:noWrap/>
            <w:vAlign w:val="bottom"/>
            <w:hideMark/>
          </w:tcPr>
          <w:p w14:paraId="4057B5E8"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équipements ergonomiques </w:t>
            </w:r>
          </w:p>
        </w:tc>
        <w:tc>
          <w:tcPr>
            <w:tcW w:w="851" w:type="dxa"/>
            <w:shd w:val="clear" w:color="auto" w:fill="auto"/>
            <w:noWrap/>
            <w:vAlign w:val="bottom"/>
            <w:hideMark/>
          </w:tcPr>
          <w:p w14:paraId="7FEA62D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88,80%</w:t>
            </w:r>
          </w:p>
        </w:tc>
        <w:tc>
          <w:tcPr>
            <w:tcW w:w="799" w:type="dxa"/>
            <w:shd w:val="clear" w:color="auto" w:fill="auto"/>
            <w:noWrap/>
            <w:vAlign w:val="bottom"/>
            <w:hideMark/>
          </w:tcPr>
          <w:p w14:paraId="5DDFB37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11,20%</w:t>
            </w:r>
          </w:p>
        </w:tc>
        <w:tc>
          <w:tcPr>
            <w:tcW w:w="760" w:type="dxa"/>
            <w:shd w:val="clear" w:color="auto" w:fill="auto"/>
            <w:noWrap/>
            <w:vAlign w:val="bottom"/>
            <w:hideMark/>
          </w:tcPr>
          <w:p w14:paraId="69F4CDB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0,00%</w:t>
            </w:r>
          </w:p>
        </w:tc>
      </w:tr>
      <w:tr w:rsidR="00695D40" w:rsidRPr="000E33BF" w14:paraId="3C5D6950" w14:textId="77777777" w:rsidTr="00162678">
        <w:trPr>
          <w:trHeight w:val="300"/>
        </w:trPr>
        <w:tc>
          <w:tcPr>
            <w:tcW w:w="6819" w:type="dxa"/>
            <w:shd w:val="clear" w:color="auto" w:fill="auto"/>
            <w:noWrap/>
            <w:vAlign w:val="bottom"/>
            <w:hideMark/>
          </w:tcPr>
          <w:p w14:paraId="01BB8076"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mise en place du travail à distance</w:t>
            </w:r>
          </w:p>
        </w:tc>
        <w:tc>
          <w:tcPr>
            <w:tcW w:w="851" w:type="dxa"/>
            <w:shd w:val="clear" w:color="auto" w:fill="auto"/>
            <w:noWrap/>
            <w:vAlign w:val="bottom"/>
            <w:hideMark/>
          </w:tcPr>
          <w:p w14:paraId="113BDA1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74,50%</w:t>
            </w:r>
          </w:p>
        </w:tc>
        <w:tc>
          <w:tcPr>
            <w:tcW w:w="799" w:type="dxa"/>
            <w:shd w:val="clear" w:color="auto" w:fill="auto"/>
            <w:noWrap/>
            <w:vAlign w:val="bottom"/>
            <w:hideMark/>
          </w:tcPr>
          <w:p w14:paraId="402AE9D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11,20%</w:t>
            </w:r>
          </w:p>
        </w:tc>
        <w:tc>
          <w:tcPr>
            <w:tcW w:w="760" w:type="dxa"/>
            <w:shd w:val="clear" w:color="auto" w:fill="auto"/>
            <w:noWrap/>
            <w:vAlign w:val="bottom"/>
            <w:hideMark/>
          </w:tcPr>
          <w:p w14:paraId="495AD2F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14,30%</w:t>
            </w:r>
          </w:p>
        </w:tc>
      </w:tr>
      <w:tr w:rsidR="00695D40" w:rsidRPr="000E33BF" w14:paraId="463E0F6D" w14:textId="77777777" w:rsidTr="00162678">
        <w:trPr>
          <w:trHeight w:val="300"/>
        </w:trPr>
        <w:tc>
          <w:tcPr>
            <w:tcW w:w="6819" w:type="dxa"/>
            <w:shd w:val="clear" w:color="auto" w:fill="auto"/>
            <w:noWrap/>
            <w:vAlign w:val="bottom"/>
            <w:hideMark/>
          </w:tcPr>
          <w:p w14:paraId="669DF26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mise en place de mesures permettant de veiller au respect des horaires </w:t>
            </w:r>
          </w:p>
        </w:tc>
        <w:tc>
          <w:tcPr>
            <w:tcW w:w="851" w:type="dxa"/>
            <w:shd w:val="clear" w:color="auto" w:fill="auto"/>
            <w:noWrap/>
            <w:vAlign w:val="bottom"/>
            <w:hideMark/>
          </w:tcPr>
          <w:p w14:paraId="54688F0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68,40%</w:t>
            </w:r>
          </w:p>
        </w:tc>
        <w:tc>
          <w:tcPr>
            <w:tcW w:w="799" w:type="dxa"/>
            <w:shd w:val="clear" w:color="auto" w:fill="auto"/>
            <w:noWrap/>
            <w:vAlign w:val="bottom"/>
            <w:hideMark/>
          </w:tcPr>
          <w:p w14:paraId="4A43582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25,50%</w:t>
            </w:r>
          </w:p>
        </w:tc>
        <w:tc>
          <w:tcPr>
            <w:tcW w:w="760" w:type="dxa"/>
            <w:shd w:val="clear" w:color="auto" w:fill="auto"/>
            <w:noWrap/>
            <w:vAlign w:val="bottom"/>
            <w:hideMark/>
          </w:tcPr>
          <w:p w14:paraId="1498D55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6,10%</w:t>
            </w:r>
          </w:p>
        </w:tc>
      </w:tr>
      <w:tr w:rsidR="00695D40" w:rsidRPr="000E33BF" w14:paraId="7BF8EBF6" w14:textId="77777777" w:rsidTr="00162678">
        <w:trPr>
          <w:trHeight w:val="300"/>
        </w:trPr>
        <w:tc>
          <w:tcPr>
            <w:tcW w:w="6819" w:type="dxa"/>
            <w:shd w:val="clear" w:color="auto" w:fill="auto"/>
            <w:noWrap/>
            <w:vAlign w:val="bottom"/>
            <w:hideMark/>
          </w:tcPr>
          <w:p w14:paraId="55E29CB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équipements technologiques </w:t>
            </w:r>
          </w:p>
        </w:tc>
        <w:tc>
          <w:tcPr>
            <w:tcW w:w="851" w:type="dxa"/>
            <w:shd w:val="clear" w:color="auto" w:fill="auto"/>
            <w:noWrap/>
            <w:vAlign w:val="bottom"/>
            <w:hideMark/>
          </w:tcPr>
          <w:p w14:paraId="71A3FE2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61,20%</w:t>
            </w:r>
          </w:p>
        </w:tc>
        <w:tc>
          <w:tcPr>
            <w:tcW w:w="799" w:type="dxa"/>
            <w:shd w:val="clear" w:color="auto" w:fill="auto"/>
            <w:noWrap/>
            <w:vAlign w:val="bottom"/>
            <w:hideMark/>
          </w:tcPr>
          <w:p w14:paraId="3B5B571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37,80%</w:t>
            </w:r>
          </w:p>
        </w:tc>
        <w:tc>
          <w:tcPr>
            <w:tcW w:w="760" w:type="dxa"/>
            <w:shd w:val="clear" w:color="auto" w:fill="auto"/>
            <w:noWrap/>
            <w:vAlign w:val="bottom"/>
            <w:hideMark/>
          </w:tcPr>
          <w:p w14:paraId="3A2A187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1,00%</w:t>
            </w:r>
          </w:p>
        </w:tc>
      </w:tr>
      <w:tr w:rsidR="00695D40" w:rsidRPr="000E33BF" w14:paraId="462A8197" w14:textId="77777777" w:rsidTr="00162678">
        <w:trPr>
          <w:trHeight w:val="300"/>
        </w:trPr>
        <w:tc>
          <w:tcPr>
            <w:tcW w:w="6819" w:type="dxa"/>
            <w:shd w:val="clear" w:color="auto" w:fill="auto"/>
            <w:noWrap/>
            <w:vAlign w:val="bottom"/>
            <w:hideMark/>
          </w:tcPr>
          <w:p w14:paraId="178123B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de prévention des Rps </w:t>
            </w:r>
          </w:p>
        </w:tc>
        <w:tc>
          <w:tcPr>
            <w:tcW w:w="851" w:type="dxa"/>
            <w:shd w:val="clear" w:color="auto" w:fill="auto"/>
            <w:noWrap/>
            <w:vAlign w:val="bottom"/>
            <w:hideMark/>
          </w:tcPr>
          <w:p w14:paraId="504329B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57,10%</w:t>
            </w:r>
          </w:p>
        </w:tc>
        <w:tc>
          <w:tcPr>
            <w:tcW w:w="799" w:type="dxa"/>
            <w:shd w:val="clear" w:color="auto" w:fill="auto"/>
            <w:noWrap/>
            <w:vAlign w:val="bottom"/>
            <w:hideMark/>
          </w:tcPr>
          <w:p w14:paraId="3BA471A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31,60%</w:t>
            </w:r>
          </w:p>
        </w:tc>
        <w:tc>
          <w:tcPr>
            <w:tcW w:w="760" w:type="dxa"/>
            <w:shd w:val="clear" w:color="auto" w:fill="auto"/>
            <w:noWrap/>
            <w:vAlign w:val="bottom"/>
            <w:hideMark/>
          </w:tcPr>
          <w:p w14:paraId="2EA9E10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11,20%</w:t>
            </w:r>
          </w:p>
        </w:tc>
      </w:tr>
      <w:tr w:rsidR="00695D40" w:rsidRPr="000E33BF" w14:paraId="05482FE0" w14:textId="77777777" w:rsidTr="00162678">
        <w:trPr>
          <w:trHeight w:val="300"/>
        </w:trPr>
        <w:tc>
          <w:tcPr>
            <w:tcW w:w="6819" w:type="dxa"/>
            <w:shd w:val="clear" w:color="auto" w:fill="auto"/>
            <w:noWrap/>
            <w:vAlign w:val="bottom"/>
            <w:hideMark/>
          </w:tcPr>
          <w:p w14:paraId="67BA5299"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Un choix de matériaux favorisant une ambiance agréable</w:t>
            </w:r>
          </w:p>
        </w:tc>
        <w:tc>
          <w:tcPr>
            <w:tcW w:w="851" w:type="dxa"/>
            <w:shd w:val="clear" w:color="auto" w:fill="auto"/>
            <w:noWrap/>
            <w:vAlign w:val="bottom"/>
            <w:hideMark/>
          </w:tcPr>
          <w:p w14:paraId="71FFA22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55,10%</w:t>
            </w:r>
          </w:p>
        </w:tc>
        <w:tc>
          <w:tcPr>
            <w:tcW w:w="799" w:type="dxa"/>
            <w:shd w:val="clear" w:color="auto" w:fill="auto"/>
            <w:noWrap/>
            <w:vAlign w:val="bottom"/>
            <w:hideMark/>
          </w:tcPr>
          <w:p w14:paraId="76FBB11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32,70%</w:t>
            </w:r>
          </w:p>
        </w:tc>
        <w:tc>
          <w:tcPr>
            <w:tcW w:w="760" w:type="dxa"/>
            <w:shd w:val="clear" w:color="auto" w:fill="auto"/>
            <w:noWrap/>
            <w:vAlign w:val="bottom"/>
            <w:hideMark/>
          </w:tcPr>
          <w:p w14:paraId="30C4B45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12,20%</w:t>
            </w:r>
          </w:p>
        </w:tc>
      </w:tr>
      <w:tr w:rsidR="00695D40" w:rsidRPr="000E33BF" w14:paraId="616B8952" w14:textId="77777777" w:rsidTr="00162678">
        <w:trPr>
          <w:trHeight w:val="300"/>
        </w:trPr>
        <w:tc>
          <w:tcPr>
            <w:tcW w:w="6819" w:type="dxa"/>
            <w:shd w:val="clear" w:color="auto" w:fill="auto"/>
            <w:noWrap/>
            <w:vAlign w:val="bottom"/>
            <w:hideMark/>
          </w:tcPr>
          <w:p w14:paraId="3D6160E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espaces de convivialité </w:t>
            </w:r>
          </w:p>
        </w:tc>
        <w:tc>
          <w:tcPr>
            <w:tcW w:w="851" w:type="dxa"/>
            <w:shd w:val="clear" w:color="auto" w:fill="auto"/>
            <w:noWrap/>
            <w:vAlign w:val="bottom"/>
            <w:hideMark/>
          </w:tcPr>
          <w:p w14:paraId="5BCFE83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51,00%</w:t>
            </w:r>
          </w:p>
        </w:tc>
        <w:tc>
          <w:tcPr>
            <w:tcW w:w="799" w:type="dxa"/>
            <w:shd w:val="clear" w:color="auto" w:fill="auto"/>
            <w:noWrap/>
            <w:vAlign w:val="bottom"/>
            <w:hideMark/>
          </w:tcPr>
          <w:p w14:paraId="520C85C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41,80%</w:t>
            </w:r>
          </w:p>
        </w:tc>
        <w:tc>
          <w:tcPr>
            <w:tcW w:w="760" w:type="dxa"/>
            <w:shd w:val="clear" w:color="auto" w:fill="auto"/>
            <w:noWrap/>
            <w:vAlign w:val="bottom"/>
            <w:hideMark/>
          </w:tcPr>
          <w:p w14:paraId="45762B6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7,10%</w:t>
            </w:r>
          </w:p>
        </w:tc>
      </w:tr>
      <w:tr w:rsidR="00695D40" w:rsidRPr="000E33BF" w14:paraId="19914FA6" w14:textId="77777777" w:rsidTr="00162678">
        <w:trPr>
          <w:trHeight w:val="300"/>
        </w:trPr>
        <w:tc>
          <w:tcPr>
            <w:tcW w:w="6819" w:type="dxa"/>
            <w:shd w:val="clear" w:color="auto" w:fill="auto"/>
            <w:noWrap/>
            <w:vAlign w:val="bottom"/>
            <w:hideMark/>
          </w:tcPr>
          <w:p w14:paraId="7580018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dispositifs de solidarité familiale</w:t>
            </w:r>
          </w:p>
        </w:tc>
        <w:tc>
          <w:tcPr>
            <w:tcW w:w="851" w:type="dxa"/>
            <w:shd w:val="clear" w:color="auto" w:fill="auto"/>
            <w:noWrap/>
            <w:vAlign w:val="bottom"/>
            <w:hideMark/>
          </w:tcPr>
          <w:p w14:paraId="4AC68F3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51,00%</w:t>
            </w:r>
          </w:p>
        </w:tc>
        <w:tc>
          <w:tcPr>
            <w:tcW w:w="799" w:type="dxa"/>
            <w:shd w:val="clear" w:color="auto" w:fill="auto"/>
            <w:noWrap/>
            <w:vAlign w:val="bottom"/>
            <w:hideMark/>
          </w:tcPr>
          <w:p w14:paraId="3E7163F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23,50%</w:t>
            </w:r>
          </w:p>
        </w:tc>
        <w:tc>
          <w:tcPr>
            <w:tcW w:w="760" w:type="dxa"/>
            <w:shd w:val="clear" w:color="auto" w:fill="auto"/>
            <w:noWrap/>
            <w:vAlign w:val="bottom"/>
            <w:hideMark/>
          </w:tcPr>
          <w:p w14:paraId="1F15921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25,50%</w:t>
            </w:r>
          </w:p>
        </w:tc>
      </w:tr>
      <w:tr w:rsidR="00695D40" w:rsidRPr="000E33BF" w14:paraId="3FB11B04" w14:textId="77777777" w:rsidTr="00162678">
        <w:trPr>
          <w:trHeight w:val="300"/>
        </w:trPr>
        <w:tc>
          <w:tcPr>
            <w:tcW w:w="6819" w:type="dxa"/>
            <w:shd w:val="clear" w:color="auto" w:fill="auto"/>
            <w:noWrap/>
            <w:vAlign w:val="bottom"/>
            <w:hideMark/>
          </w:tcPr>
          <w:p w14:paraId="76A952F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mise en place de solutions promouvant les modes de transports doux</w:t>
            </w:r>
          </w:p>
        </w:tc>
        <w:tc>
          <w:tcPr>
            <w:tcW w:w="851" w:type="dxa"/>
            <w:shd w:val="clear" w:color="auto" w:fill="auto"/>
            <w:noWrap/>
            <w:vAlign w:val="bottom"/>
            <w:hideMark/>
          </w:tcPr>
          <w:p w14:paraId="58E1C33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50,00%</w:t>
            </w:r>
          </w:p>
        </w:tc>
        <w:tc>
          <w:tcPr>
            <w:tcW w:w="799" w:type="dxa"/>
            <w:shd w:val="clear" w:color="auto" w:fill="auto"/>
            <w:noWrap/>
            <w:vAlign w:val="bottom"/>
            <w:hideMark/>
          </w:tcPr>
          <w:p w14:paraId="680C342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30,60%</w:t>
            </w:r>
          </w:p>
        </w:tc>
        <w:tc>
          <w:tcPr>
            <w:tcW w:w="760" w:type="dxa"/>
            <w:shd w:val="clear" w:color="auto" w:fill="auto"/>
            <w:noWrap/>
            <w:vAlign w:val="bottom"/>
            <w:hideMark/>
          </w:tcPr>
          <w:p w14:paraId="3739CE6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19,40%</w:t>
            </w:r>
          </w:p>
        </w:tc>
      </w:tr>
      <w:tr w:rsidR="00695D40" w:rsidRPr="000E33BF" w14:paraId="696782BF" w14:textId="77777777" w:rsidTr="00162678">
        <w:trPr>
          <w:trHeight w:val="300"/>
        </w:trPr>
        <w:tc>
          <w:tcPr>
            <w:tcW w:w="6819" w:type="dxa"/>
            <w:shd w:val="clear" w:color="auto" w:fill="auto"/>
            <w:noWrap/>
            <w:vAlign w:val="bottom"/>
            <w:hideMark/>
          </w:tcPr>
          <w:p w14:paraId="0866461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signature d'un accord sur le droit à la déconnexion</w:t>
            </w:r>
          </w:p>
        </w:tc>
        <w:tc>
          <w:tcPr>
            <w:tcW w:w="851" w:type="dxa"/>
            <w:shd w:val="clear" w:color="auto" w:fill="auto"/>
            <w:noWrap/>
            <w:vAlign w:val="bottom"/>
            <w:hideMark/>
          </w:tcPr>
          <w:p w14:paraId="569CA25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36,70%</w:t>
            </w:r>
          </w:p>
        </w:tc>
        <w:tc>
          <w:tcPr>
            <w:tcW w:w="799" w:type="dxa"/>
            <w:shd w:val="clear" w:color="auto" w:fill="auto"/>
            <w:noWrap/>
            <w:vAlign w:val="bottom"/>
            <w:hideMark/>
          </w:tcPr>
          <w:p w14:paraId="520C112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13,30%</w:t>
            </w:r>
          </w:p>
        </w:tc>
        <w:tc>
          <w:tcPr>
            <w:tcW w:w="760" w:type="dxa"/>
            <w:shd w:val="clear" w:color="auto" w:fill="auto"/>
            <w:noWrap/>
            <w:vAlign w:val="bottom"/>
            <w:hideMark/>
          </w:tcPr>
          <w:p w14:paraId="33FC196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50,00%</w:t>
            </w:r>
          </w:p>
        </w:tc>
      </w:tr>
      <w:tr w:rsidR="00695D40" w:rsidRPr="000E33BF" w14:paraId="68ABF78A" w14:textId="77777777" w:rsidTr="00162678">
        <w:trPr>
          <w:trHeight w:val="300"/>
        </w:trPr>
        <w:tc>
          <w:tcPr>
            <w:tcW w:w="6819" w:type="dxa"/>
            <w:shd w:val="clear" w:color="auto" w:fill="auto"/>
            <w:noWrap/>
            <w:vAlign w:val="bottom"/>
            <w:hideMark/>
          </w:tcPr>
          <w:p w14:paraId="430FBCA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Autres mécanismes favorisant l'équilibre des temps de vie</w:t>
            </w:r>
          </w:p>
        </w:tc>
        <w:tc>
          <w:tcPr>
            <w:tcW w:w="851" w:type="dxa"/>
            <w:shd w:val="clear" w:color="auto" w:fill="auto"/>
            <w:noWrap/>
            <w:vAlign w:val="bottom"/>
            <w:hideMark/>
          </w:tcPr>
          <w:p w14:paraId="4DC5B97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36,70%</w:t>
            </w:r>
          </w:p>
        </w:tc>
        <w:tc>
          <w:tcPr>
            <w:tcW w:w="799" w:type="dxa"/>
            <w:shd w:val="clear" w:color="auto" w:fill="auto"/>
            <w:noWrap/>
            <w:vAlign w:val="bottom"/>
            <w:hideMark/>
          </w:tcPr>
          <w:p w14:paraId="356835A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18,40%</w:t>
            </w:r>
          </w:p>
        </w:tc>
        <w:tc>
          <w:tcPr>
            <w:tcW w:w="760" w:type="dxa"/>
            <w:shd w:val="clear" w:color="auto" w:fill="auto"/>
            <w:noWrap/>
            <w:vAlign w:val="bottom"/>
            <w:hideMark/>
          </w:tcPr>
          <w:p w14:paraId="79DE854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44,90%</w:t>
            </w:r>
          </w:p>
        </w:tc>
      </w:tr>
      <w:tr w:rsidR="00695D40" w:rsidRPr="000E33BF" w14:paraId="7500C344" w14:textId="77777777" w:rsidTr="00162678">
        <w:trPr>
          <w:trHeight w:val="300"/>
        </w:trPr>
        <w:tc>
          <w:tcPr>
            <w:tcW w:w="6819" w:type="dxa"/>
            <w:shd w:val="clear" w:color="auto" w:fill="auto"/>
            <w:noWrap/>
            <w:vAlign w:val="bottom"/>
            <w:hideMark/>
          </w:tcPr>
          <w:p w14:paraId="284467FD"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équipements confortables et modernes </w:t>
            </w:r>
          </w:p>
        </w:tc>
        <w:tc>
          <w:tcPr>
            <w:tcW w:w="851" w:type="dxa"/>
            <w:shd w:val="clear" w:color="auto" w:fill="auto"/>
            <w:noWrap/>
            <w:vAlign w:val="bottom"/>
            <w:hideMark/>
          </w:tcPr>
          <w:p w14:paraId="63561C3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34,70%</w:t>
            </w:r>
          </w:p>
        </w:tc>
        <w:tc>
          <w:tcPr>
            <w:tcW w:w="799" w:type="dxa"/>
            <w:shd w:val="clear" w:color="auto" w:fill="auto"/>
            <w:noWrap/>
            <w:vAlign w:val="bottom"/>
            <w:hideMark/>
          </w:tcPr>
          <w:p w14:paraId="79864D5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30,60%</w:t>
            </w:r>
          </w:p>
        </w:tc>
        <w:tc>
          <w:tcPr>
            <w:tcW w:w="760" w:type="dxa"/>
            <w:shd w:val="clear" w:color="auto" w:fill="auto"/>
            <w:noWrap/>
            <w:vAlign w:val="bottom"/>
            <w:hideMark/>
          </w:tcPr>
          <w:p w14:paraId="3052D6A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34,70%</w:t>
            </w:r>
          </w:p>
        </w:tc>
      </w:tr>
      <w:tr w:rsidR="00695D40" w:rsidRPr="000E33BF" w14:paraId="1DCE7330" w14:textId="77777777" w:rsidTr="00162678">
        <w:trPr>
          <w:trHeight w:val="300"/>
        </w:trPr>
        <w:tc>
          <w:tcPr>
            <w:tcW w:w="6819" w:type="dxa"/>
            <w:shd w:val="clear" w:color="auto" w:fill="auto"/>
            <w:noWrap/>
            <w:vAlign w:val="bottom"/>
            <w:hideMark/>
          </w:tcPr>
          <w:p w14:paraId="394FED4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aménagements intérieurs modulaires et ouverts </w:t>
            </w:r>
          </w:p>
        </w:tc>
        <w:tc>
          <w:tcPr>
            <w:tcW w:w="851" w:type="dxa"/>
            <w:shd w:val="clear" w:color="auto" w:fill="auto"/>
            <w:noWrap/>
            <w:vAlign w:val="bottom"/>
            <w:hideMark/>
          </w:tcPr>
          <w:p w14:paraId="4A4FAED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16,30%</w:t>
            </w:r>
          </w:p>
        </w:tc>
        <w:tc>
          <w:tcPr>
            <w:tcW w:w="799" w:type="dxa"/>
            <w:shd w:val="clear" w:color="auto" w:fill="auto"/>
            <w:noWrap/>
            <w:vAlign w:val="bottom"/>
            <w:hideMark/>
          </w:tcPr>
          <w:p w14:paraId="6DF432D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21,40%</w:t>
            </w:r>
          </w:p>
        </w:tc>
        <w:tc>
          <w:tcPr>
            <w:tcW w:w="760" w:type="dxa"/>
            <w:shd w:val="clear" w:color="auto" w:fill="auto"/>
            <w:noWrap/>
            <w:vAlign w:val="bottom"/>
            <w:hideMark/>
          </w:tcPr>
          <w:p w14:paraId="4C4F6B2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62,20%</w:t>
            </w:r>
          </w:p>
        </w:tc>
      </w:tr>
      <w:tr w:rsidR="00695D40" w:rsidRPr="000E33BF" w14:paraId="2A75A718" w14:textId="77777777" w:rsidTr="00162678">
        <w:trPr>
          <w:trHeight w:val="300"/>
        </w:trPr>
        <w:tc>
          <w:tcPr>
            <w:tcW w:w="6819" w:type="dxa"/>
            <w:shd w:val="clear" w:color="auto" w:fill="auto"/>
            <w:noWrap/>
            <w:vAlign w:val="bottom"/>
            <w:hideMark/>
          </w:tcPr>
          <w:p w14:paraId="1425BEE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services proposés en interne </w:t>
            </w:r>
          </w:p>
        </w:tc>
        <w:tc>
          <w:tcPr>
            <w:tcW w:w="851" w:type="dxa"/>
            <w:shd w:val="clear" w:color="auto" w:fill="auto"/>
            <w:noWrap/>
            <w:vAlign w:val="bottom"/>
            <w:hideMark/>
          </w:tcPr>
          <w:p w14:paraId="071840F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15,30%</w:t>
            </w:r>
          </w:p>
        </w:tc>
        <w:tc>
          <w:tcPr>
            <w:tcW w:w="799" w:type="dxa"/>
            <w:shd w:val="clear" w:color="auto" w:fill="auto"/>
            <w:noWrap/>
            <w:vAlign w:val="bottom"/>
            <w:hideMark/>
          </w:tcPr>
          <w:p w14:paraId="4880EFF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26,50%</w:t>
            </w:r>
          </w:p>
        </w:tc>
        <w:tc>
          <w:tcPr>
            <w:tcW w:w="760" w:type="dxa"/>
            <w:shd w:val="clear" w:color="auto" w:fill="auto"/>
            <w:noWrap/>
            <w:vAlign w:val="bottom"/>
            <w:hideMark/>
          </w:tcPr>
          <w:p w14:paraId="1581AA7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58,20%</w:t>
            </w:r>
          </w:p>
        </w:tc>
      </w:tr>
      <w:tr w:rsidR="00695D40" w:rsidRPr="000E33BF" w14:paraId="3F5D4A36" w14:textId="77777777" w:rsidTr="00162678">
        <w:trPr>
          <w:trHeight w:val="300"/>
        </w:trPr>
        <w:tc>
          <w:tcPr>
            <w:tcW w:w="6819" w:type="dxa"/>
            <w:shd w:val="clear" w:color="auto" w:fill="auto"/>
            <w:noWrap/>
            <w:vAlign w:val="bottom"/>
            <w:hideMark/>
          </w:tcPr>
          <w:p w14:paraId="7E9813F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lastRenderedPageBreak/>
              <w:t xml:space="preserve">La mise en place d'espaces dédiés au collectif </w:t>
            </w:r>
          </w:p>
        </w:tc>
        <w:tc>
          <w:tcPr>
            <w:tcW w:w="851" w:type="dxa"/>
            <w:shd w:val="clear" w:color="auto" w:fill="auto"/>
            <w:noWrap/>
            <w:vAlign w:val="bottom"/>
            <w:hideMark/>
          </w:tcPr>
          <w:p w14:paraId="2B42D92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12,20%</w:t>
            </w:r>
          </w:p>
        </w:tc>
        <w:tc>
          <w:tcPr>
            <w:tcW w:w="799" w:type="dxa"/>
            <w:shd w:val="clear" w:color="auto" w:fill="auto"/>
            <w:noWrap/>
            <w:vAlign w:val="bottom"/>
            <w:hideMark/>
          </w:tcPr>
          <w:p w14:paraId="3E92632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19,40%</w:t>
            </w:r>
          </w:p>
        </w:tc>
        <w:tc>
          <w:tcPr>
            <w:tcW w:w="760" w:type="dxa"/>
            <w:shd w:val="clear" w:color="auto" w:fill="auto"/>
            <w:noWrap/>
            <w:vAlign w:val="bottom"/>
            <w:hideMark/>
          </w:tcPr>
          <w:p w14:paraId="10F26D7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68,40%</w:t>
            </w:r>
          </w:p>
        </w:tc>
      </w:tr>
    </w:tbl>
    <w:p w14:paraId="78F4E25D" w14:textId="77777777" w:rsidR="00695D40" w:rsidRPr="000E33BF" w:rsidRDefault="00695D40" w:rsidP="00695D40">
      <w:pPr>
        <w:rPr>
          <w:rFonts w:ascii="Times New Roman" w:hAnsi="Times New Roman" w:cs="Times New Roman"/>
        </w:rPr>
      </w:pPr>
    </w:p>
    <w:p w14:paraId="659D0770"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Là encore, beaucoup de choses sont réalisées par ces organisations et l’on constate qu’il existe une très grande variété de pratiques. Celles-ci ne sont d’ailleurs que faiblement dépendantes de la taille de ces organisations. Ces organisations sont traditionnellement réparties en quatre groupes de taille des plus grandes (Groupe A : 571 salariés en moyenne) aux plus petites (groupe D : 292 salariés).</w:t>
      </w:r>
    </w:p>
    <w:p w14:paraId="5433450E" w14:textId="77777777" w:rsidR="00695D40" w:rsidRPr="000E33BF" w:rsidRDefault="00695D40" w:rsidP="00695D40">
      <w:pPr>
        <w:jc w:val="both"/>
        <w:rPr>
          <w:rFonts w:ascii="Times New Roman" w:hAnsi="Times New Roman" w:cs="Times New Roman"/>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1"/>
        <w:gridCol w:w="1134"/>
        <w:gridCol w:w="1190"/>
        <w:gridCol w:w="1220"/>
        <w:gridCol w:w="1275"/>
      </w:tblGrid>
      <w:tr w:rsidR="00695D40" w:rsidRPr="000E33BF" w14:paraId="2C66DAEE" w14:textId="77777777" w:rsidTr="00162678">
        <w:trPr>
          <w:trHeight w:val="300"/>
        </w:trPr>
        <w:tc>
          <w:tcPr>
            <w:tcW w:w="3701" w:type="dxa"/>
            <w:shd w:val="clear" w:color="auto" w:fill="auto"/>
            <w:noWrap/>
            <w:vAlign w:val="bottom"/>
            <w:hideMark/>
          </w:tcPr>
          <w:p w14:paraId="4DECFD1B" w14:textId="77777777" w:rsidR="00695D40" w:rsidRPr="000E33BF" w:rsidRDefault="00695D40" w:rsidP="00162678">
            <w:pPr>
              <w:rPr>
                <w:rFonts w:ascii="Times New Roman" w:eastAsia="Times New Roman" w:hAnsi="Times New Roman" w:cs="Times New Roman"/>
                <w:color w:val="000000"/>
              </w:rPr>
            </w:pPr>
          </w:p>
        </w:tc>
        <w:tc>
          <w:tcPr>
            <w:tcW w:w="1134" w:type="dxa"/>
            <w:shd w:val="clear" w:color="auto" w:fill="auto"/>
            <w:noWrap/>
            <w:vAlign w:val="bottom"/>
            <w:hideMark/>
          </w:tcPr>
          <w:p w14:paraId="17B6D88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A</w:t>
            </w:r>
          </w:p>
        </w:tc>
        <w:tc>
          <w:tcPr>
            <w:tcW w:w="1190" w:type="dxa"/>
            <w:shd w:val="clear" w:color="auto" w:fill="auto"/>
            <w:noWrap/>
            <w:vAlign w:val="bottom"/>
            <w:hideMark/>
          </w:tcPr>
          <w:p w14:paraId="5C9DF6E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B</w:t>
            </w:r>
          </w:p>
        </w:tc>
        <w:tc>
          <w:tcPr>
            <w:tcW w:w="1220" w:type="dxa"/>
            <w:shd w:val="clear" w:color="auto" w:fill="auto"/>
            <w:noWrap/>
            <w:vAlign w:val="bottom"/>
            <w:hideMark/>
          </w:tcPr>
          <w:p w14:paraId="3315F4C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C</w:t>
            </w:r>
          </w:p>
        </w:tc>
        <w:tc>
          <w:tcPr>
            <w:tcW w:w="1275" w:type="dxa"/>
            <w:shd w:val="clear" w:color="auto" w:fill="auto"/>
            <w:noWrap/>
            <w:vAlign w:val="bottom"/>
            <w:hideMark/>
          </w:tcPr>
          <w:p w14:paraId="6C5C4F9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D</w:t>
            </w:r>
          </w:p>
        </w:tc>
      </w:tr>
      <w:tr w:rsidR="00695D40" w:rsidRPr="000E33BF" w14:paraId="176FB4CB" w14:textId="77777777" w:rsidTr="00162678">
        <w:trPr>
          <w:trHeight w:val="300"/>
        </w:trPr>
        <w:tc>
          <w:tcPr>
            <w:tcW w:w="3701" w:type="dxa"/>
            <w:shd w:val="clear" w:color="auto" w:fill="auto"/>
            <w:noWrap/>
            <w:vAlign w:val="bottom"/>
            <w:hideMark/>
          </w:tcPr>
          <w:p w14:paraId="00E9AC6A"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Volume de pratiques liées au Sens</w:t>
            </w:r>
          </w:p>
        </w:tc>
        <w:tc>
          <w:tcPr>
            <w:tcW w:w="1134" w:type="dxa"/>
            <w:shd w:val="clear" w:color="auto" w:fill="auto"/>
            <w:noWrap/>
            <w:vAlign w:val="bottom"/>
            <w:hideMark/>
          </w:tcPr>
          <w:p w14:paraId="1F880AB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71,25</w:t>
            </w:r>
          </w:p>
        </w:tc>
        <w:tc>
          <w:tcPr>
            <w:tcW w:w="1190" w:type="dxa"/>
            <w:shd w:val="clear" w:color="auto" w:fill="auto"/>
            <w:noWrap/>
            <w:vAlign w:val="bottom"/>
            <w:hideMark/>
          </w:tcPr>
          <w:p w14:paraId="410FEEC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57,81</w:t>
            </w:r>
          </w:p>
        </w:tc>
        <w:tc>
          <w:tcPr>
            <w:tcW w:w="1220" w:type="dxa"/>
            <w:shd w:val="clear" w:color="auto" w:fill="auto"/>
            <w:noWrap/>
            <w:vAlign w:val="bottom"/>
            <w:hideMark/>
          </w:tcPr>
          <w:p w14:paraId="1B47A3D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63,54</w:t>
            </w:r>
          </w:p>
        </w:tc>
        <w:tc>
          <w:tcPr>
            <w:tcW w:w="1275" w:type="dxa"/>
            <w:shd w:val="clear" w:color="auto" w:fill="auto"/>
            <w:noWrap/>
            <w:vAlign w:val="bottom"/>
            <w:hideMark/>
          </w:tcPr>
          <w:p w14:paraId="26654E0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65,37</w:t>
            </w:r>
          </w:p>
        </w:tc>
      </w:tr>
      <w:tr w:rsidR="00695D40" w:rsidRPr="000E33BF" w14:paraId="6CEBC607" w14:textId="77777777" w:rsidTr="00162678">
        <w:trPr>
          <w:trHeight w:val="300"/>
        </w:trPr>
        <w:tc>
          <w:tcPr>
            <w:tcW w:w="3701" w:type="dxa"/>
            <w:shd w:val="clear" w:color="auto" w:fill="auto"/>
            <w:noWrap/>
            <w:vAlign w:val="bottom"/>
            <w:hideMark/>
          </w:tcPr>
          <w:p w14:paraId="33779D73"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Volume de pratiques liées au Lien</w:t>
            </w:r>
          </w:p>
        </w:tc>
        <w:tc>
          <w:tcPr>
            <w:tcW w:w="1134" w:type="dxa"/>
            <w:shd w:val="clear" w:color="auto" w:fill="auto"/>
            <w:noWrap/>
            <w:vAlign w:val="bottom"/>
            <w:hideMark/>
          </w:tcPr>
          <w:p w14:paraId="0EE0061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59,93</w:t>
            </w:r>
          </w:p>
        </w:tc>
        <w:tc>
          <w:tcPr>
            <w:tcW w:w="1190" w:type="dxa"/>
            <w:shd w:val="clear" w:color="auto" w:fill="auto"/>
            <w:noWrap/>
            <w:vAlign w:val="bottom"/>
            <w:hideMark/>
          </w:tcPr>
          <w:p w14:paraId="43576F5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52,21</w:t>
            </w:r>
          </w:p>
        </w:tc>
        <w:tc>
          <w:tcPr>
            <w:tcW w:w="1220" w:type="dxa"/>
            <w:shd w:val="clear" w:color="auto" w:fill="auto"/>
            <w:noWrap/>
            <w:vAlign w:val="bottom"/>
            <w:hideMark/>
          </w:tcPr>
          <w:p w14:paraId="0C57FAA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59,02</w:t>
            </w:r>
          </w:p>
        </w:tc>
        <w:tc>
          <w:tcPr>
            <w:tcW w:w="1275" w:type="dxa"/>
            <w:shd w:val="clear" w:color="auto" w:fill="auto"/>
            <w:noWrap/>
            <w:vAlign w:val="bottom"/>
            <w:hideMark/>
          </w:tcPr>
          <w:p w14:paraId="2638D26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57,55</w:t>
            </w:r>
          </w:p>
        </w:tc>
      </w:tr>
      <w:tr w:rsidR="00695D40" w:rsidRPr="000E33BF" w14:paraId="477CD9F3" w14:textId="77777777" w:rsidTr="00162678">
        <w:trPr>
          <w:trHeight w:val="300"/>
        </w:trPr>
        <w:tc>
          <w:tcPr>
            <w:tcW w:w="3701" w:type="dxa"/>
            <w:shd w:val="clear" w:color="auto" w:fill="auto"/>
            <w:noWrap/>
            <w:vAlign w:val="bottom"/>
            <w:hideMark/>
          </w:tcPr>
          <w:p w14:paraId="2C18DEE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Volume de pratiques liées à l’Activité</w:t>
            </w:r>
          </w:p>
        </w:tc>
        <w:tc>
          <w:tcPr>
            <w:tcW w:w="1134" w:type="dxa"/>
            <w:shd w:val="clear" w:color="auto" w:fill="auto"/>
            <w:noWrap/>
            <w:vAlign w:val="bottom"/>
            <w:hideMark/>
          </w:tcPr>
          <w:p w14:paraId="512AF33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74,17</w:t>
            </w:r>
          </w:p>
        </w:tc>
        <w:tc>
          <w:tcPr>
            <w:tcW w:w="1190" w:type="dxa"/>
            <w:shd w:val="clear" w:color="auto" w:fill="auto"/>
            <w:noWrap/>
            <w:vAlign w:val="bottom"/>
            <w:hideMark/>
          </w:tcPr>
          <w:p w14:paraId="77C2706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57,58</w:t>
            </w:r>
          </w:p>
        </w:tc>
        <w:tc>
          <w:tcPr>
            <w:tcW w:w="1220" w:type="dxa"/>
            <w:shd w:val="clear" w:color="auto" w:fill="auto"/>
            <w:noWrap/>
            <w:vAlign w:val="bottom"/>
            <w:hideMark/>
          </w:tcPr>
          <w:p w14:paraId="795E37C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63,21</w:t>
            </w:r>
          </w:p>
        </w:tc>
        <w:tc>
          <w:tcPr>
            <w:tcW w:w="1275" w:type="dxa"/>
            <w:shd w:val="clear" w:color="auto" w:fill="auto"/>
            <w:noWrap/>
            <w:vAlign w:val="bottom"/>
            <w:hideMark/>
          </w:tcPr>
          <w:p w14:paraId="2E8F38A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65,11</w:t>
            </w:r>
          </w:p>
        </w:tc>
      </w:tr>
      <w:tr w:rsidR="00695D40" w:rsidRPr="000E33BF" w14:paraId="1838C9E4" w14:textId="77777777" w:rsidTr="00162678">
        <w:trPr>
          <w:trHeight w:val="300"/>
        </w:trPr>
        <w:tc>
          <w:tcPr>
            <w:tcW w:w="3701" w:type="dxa"/>
            <w:shd w:val="clear" w:color="auto" w:fill="auto"/>
            <w:noWrap/>
            <w:vAlign w:val="bottom"/>
            <w:hideMark/>
          </w:tcPr>
          <w:p w14:paraId="1BC2081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Volume de pratiques liées au Confort</w:t>
            </w:r>
          </w:p>
        </w:tc>
        <w:tc>
          <w:tcPr>
            <w:tcW w:w="1134" w:type="dxa"/>
            <w:shd w:val="clear" w:color="auto" w:fill="auto"/>
            <w:noWrap/>
            <w:vAlign w:val="bottom"/>
            <w:hideMark/>
          </w:tcPr>
          <w:p w14:paraId="7DBDE2E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72,5</w:t>
            </w:r>
          </w:p>
        </w:tc>
        <w:tc>
          <w:tcPr>
            <w:tcW w:w="1190" w:type="dxa"/>
            <w:shd w:val="clear" w:color="auto" w:fill="auto"/>
            <w:noWrap/>
            <w:vAlign w:val="bottom"/>
            <w:hideMark/>
          </w:tcPr>
          <w:p w14:paraId="78B7863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59,82</w:t>
            </w:r>
          </w:p>
        </w:tc>
        <w:tc>
          <w:tcPr>
            <w:tcW w:w="1220" w:type="dxa"/>
            <w:shd w:val="clear" w:color="auto" w:fill="auto"/>
            <w:noWrap/>
            <w:vAlign w:val="bottom"/>
            <w:hideMark/>
          </w:tcPr>
          <w:p w14:paraId="33A60B2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63,85</w:t>
            </w:r>
          </w:p>
        </w:tc>
        <w:tc>
          <w:tcPr>
            <w:tcW w:w="1275" w:type="dxa"/>
            <w:shd w:val="clear" w:color="auto" w:fill="auto"/>
            <w:noWrap/>
            <w:vAlign w:val="bottom"/>
            <w:hideMark/>
          </w:tcPr>
          <w:p w14:paraId="0406E98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57,77</w:t>
            </w:r>
          </w:p>
        </w:tc>
      </w:tr>
      <w:tr w:rsidR="00695D40" w:rsidRPr="000E33BF" w14:paraId="2647A097" w14:textId="77777777" w:rsidTr="00162678">
        <w:trPr>
          <w:trHeight w:val="300"/>
        </w:trPr>
        <w:tc>
          <w:tcPr>
            <w:tcW w:w="3701" w:type="dxa"/>
            <w:shd w:val="clear" w:color="auto" w:fill="auto"/>
            <w:noWrap/>
            <w:vAlign w:val="bottom"/>
            <w:hideMark/>
          </w:tcPr>
          <w:p w14:paraId="55A5E30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Volume total de pratiques</w:t>
            </w:r>
          </w:p>
        </w:tc>
        <w:tc>
          <w:tcPr>
            <w:tcW w:w="1134" w:type="dxa"/>
            <w:shd w:val="clear" w:color="auto" w:fill="auto"/>
            <w:noWrap/>
            <w:vAlign w:val="bottom"/>
            <w:hideMark/>
          </w:tcPr>
          <w:p w14:paraId="5802798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69,46</w:t>
            </w:r>
          </w:p>
        </w:tc>
        <w:tc>
          <w:tcPr>
            <w:tcW w:w="1190" w:type="dxa"/>
            <w:shd w:val="clear" w:color="auto" w:fill="auto"/>
            <w:noWrap/>
            <w:vAlign w:val="bottom"/>
            <w:hideMark/>
          </w:tcPr>
          <w:p w14:paraId="71FCF38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56,86</w:t>
            </w:r>
          </w:p>
        </w:tc>
        <w:tc>
          <w:tcPr>
            <w:tcW w:w="1220" w:type="dxa"/>
            <w:shd w:val="clear" w:color="auto" w:fill="auto"/>
            <w:noWrap/>
            <w:vAlign w:val="bottom"/>
            <w:hideMark/>
          </w:tcPr>
          <w:p w14:paraId="10185B5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62,41</w:t>
            </w:r>
          </w:p>
        </w:tc>
        <w:tc>
          <w:tcPr>
            <w:tcW w:w="1275" w:type="dxa"/>
            <w:shd w:val="clear" w:color="auto" w:fill="auto"/>
            <w:noWrap/>
            <w:vAlign w:val="bottom"/>
            <w:hideMark/>
          </w:tcPr>
          <w:p w14:paraId="1173E5E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61,45</w:t>
            </w:r>
          </w:p>
        </w:tc>
      </w:tr>
    </w:tbl>
    <w:p w14:paraId="24E89A3F" w14:textId="77777777" w:rsidR="00695D40" w:rsidRPr="000E33BF" w:rsidRDefault="00695D40" w:rsidP="00695D40">
      <w:pPr>
        <w:rPr>
          <w:rFonts w:ascii="Times New Roman" w:hAnsi="Times New Roman" w:cs="Times New Roman"/>
        </w:rPr>
      </w:pPr>
    </w:p>
    <w:p w14:paraId="0A72311E" w14:textId="77777777" w:rsidR="00695D40" w:rsidRDefault="00695D40" w:rsidP="00B91402">
      <w:pPr>
        <w:spacing w:line="276" w:lineRule="auto"/>
        <w:jc w:val="both"/>
        <w:rPr>
          <w:rFonts w:ascii="Times New Roman" w:hAnsi="Times New Roman" w:cs="Times New Roman"/>
        </w:rPr>
      </w:pPr>
      <w:r w:rsidRPr="000E33BF">
        <w:rPr>
          <w:rFonts w:ascii="Times New Roman" w:hAnsi="Times New Roman" w:cs="Times New Roman"/>
        </w:rPr>
        <w:t>Cela nous permet de constater qu’il y a très peu de différences entre les catégories d’organisations. La taille semble constituer un facteur secondaire si l’on met à part la catégorie des plus grandes organisations qui ont développées  significativement plus de pratiques que les autres.</w:t>
      </w:r>
    </w:p>
    <w:p w14:paraId="30A29C67" w14:textId="77777777" w:rsidR="00B92D77" w:rsidRPr="000E33BF" w:rsidRDefault="00B92D77" w:rsidP="00B91402">
      <w:pPr>
        <w:spacing w:line="276" w:lineRule="auto"/>
        <w:jc w:val="both"/>
        <w:rPr>
          <w:rFonts w:ascii="Times New Roman" w:hAnsi="Times New Roman" w:cs="Times New Roman"/>
        </w:rPr>
      </w:pPr>
    </w:p>
    <w:p w14:paraId="59D2F149"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Ces résultats conduisent à dresser un tableau particulier des pratiques déployées dans le champ de la Qualité de Vie au Travail : la variété est très importante et permet de mettre en évidence l’importante diversité de e qui est fait en la matière.</w:t>
      </w:r>
    </w:p>
    <w:p w14:paraId="0C7F6FDD" w14:textId="77777777" w:rsidR="00695D40" w:rsidRPr="000E33BF" w:rsidRDefault="00695D40" w:rsidP="00B91402">
      <w:pPr>
        <w:spacing w:line="276" w:lineRule="auto"/>
        <w:jc w:val="both"/>
        <w:rPr>
          <w:rFonts w:ascii="Times New Roman" w:hAnsi="Times New Roman" w:cs="Times New Roman"/>
        </w:rPr>
      </w:pPr>
      <w:r w:rsidRPr="000E33BF">
        <w:rPr>
          <w:rFonts w:ascii="Times New Roman" w:hAnsi="Times New Roman" w:cs="Times New Roman"/>
        </w:rPr>
        <w:t xml:space="preserve">Ceci permet également de constater que la définition initiale de la QVT retenue pour cette étude a conduit à identifier que les pratiques associées à la QVT recouvrent un large périmètre. Cela incorpore donc un ensemble d’outils très large qui conduit à inscrire la QVT comme une pratique globale de développement des ressources humaines. </w:t>
      </w:r>
    </w:p>
    <w:p w14:paraId="0FF32BCF" w14:textId="77777777" w:rsidR="00695D40" w:rsidRPr="000E33BF" w:rsidRDefault="00695D40" w:rsidP="00695D40">
      <w:pPr>
        <w:rPr>
          <w:rFonts w:ascii="Times New Roman" w:hAnsi="Times New Roman" w:cs="Times New Roman"/>
        </w:rPr>
      </w:pPr>
    </w:p>
    <w:p w14:paraId="7EE4525A" w14:textId="77777777" w:rsidR="00695D40" w:rsidRPr="000E33BF" w:rsidRDefault="00695D40" w:rsidP="00695D40">
      <w:pPr>
        <w:rPr>
          <w:rFonts w:ascii="Times New Roman" w:hAnsi="Times New Roman" w:cs="Times New Roman"/>
        </w:rPr>
      </w:pPr>
    </w:p>
    <w:p w14:paraId="183842B4" w14:textId="5BD11E01" w:rsidR="00695D40" w:rsidRPr="00B92D77" w:rsidRDefault="00695D40" w:rsidP="00B92D77">
      <w:pPr>
        <w:pStyle w:val="Paragraphedeliste"/>
        <w:numPr>
          <w:ilvl w:val="1"/>
          <w:numId w:val="10"/>
        </w:numPr>
        <w:spacing w:after="200" w:line="276" w:lineRule="auto"/>
        <w:contextualSpacing/>
        <w:rPr>
          <w:b/>
        </w:rPr>
      </w:pPr>
      <w:r w:rsidRPr="00B92D77">
        <w:rPr>
          <w:b/>
        </w:rPr>
        <w:t>Un lien limité entre pratiques QVT et climat social de l’organisation</w:t>
      </w:r>
    </w:p>
    <w:p w14:paraId="4163BE8B" w14:textId="48AB8BD5" w:rsidR="00695D40" w:rsidRPr="00133A97" w:rsidRDefault="00695D40" w:rsidP="00B91402">
      <w:pPr>
        <w:pStyle w:val="NormalWeb"/>
        <w:spacing w:before="0" w:beforeAutospacing="0" w:after="0" w:afterAutospacing="0" w:line="276" w:lineRule="auto"/>
        <w:jc w:val="both"/>
        <w:rPr>
          <w:color w:val="000000"/>
        </w:rPr>
      </w:pPr>
      <w:r w:rsidRPr="00133A97">
        <w:rPr>
          <w:color w:val="000000"/>
        </w:rPr>
        <w:t xml:space="preserve">L’examen des liens entre l’existence de pratiques dans l’organisation pose la question du séquençage des  données collectées. Ici, les pratiques sont celles sur lesquelles les organisations ont investis dans les </w:t>
      </w:r>
      <w:r w:rsidR="00B92D77" w:rsidRPr="00133A97">
        <w:rPr>
          <w:color w:val="000000"/>
        </w:rPr>
        <w:t>trois</w:t>
      </w:r>
      <w:r w:rsidRPr="00133A97">
        <w:rPr>
          <w:color w:val="000000"/>
        </w:rPr>
        <w:t xml:space="preserve"> dernières années. Il s’agit donc d’identifier si les pratiques à l’œuvre aujourd’hui sont en lien avec la situation sociale de ces organisations. </w:t>
      </w:r>
    </w:p>
    <w:p w14:paraId="2A91BB74" w14:textId="77777777" w:rsidR="00695D40" w:rsidRPr="000E33BF" w:rsidRDefault="00695D40" w:rsidP="00B91402">
      <w:pPr>
        <w:pStyle w:val="NormalWeb"/>
        <w:spacing w:before="0" w:beforeAutospacing="0" w:after="0" w:afterAutospacing="0" w:line="276" w:lineRule="auto"/>
        <w:jc w:val="both"/>
        <w:rPr>
          <w:color w:val="000000"/>
          <w:sz w:val="22"/>
          <w:szCs w:val="22"/>
        </w:rPr>
      </w:pPr>
    </w:p>
    <w:p w14:paraId="33D12CA1" w14:textId="77777777" w:rsidR="00695D40" w:rsidRPr="00133A97" w:rsidRDefault="00695D40" w:rsidP="00B91402">
      <w:pPr>
        <w:pStyle w:val="NormalWeb"/>
        <w:spacing w:before="0" w:beforeAutospacing="0" w:after="0" w:afterAutospacing="0" w:line="276" w:lineRule="auto"/>
        <w:jc w:val="both"/>
        <w:rPr>
          <w:color w:val="000000"/>
          <w:szCs w:val="22"/>
        </w:rPr>
      </w:pPr>
      <w:r w:rsidRPr="00133A97">
        <w:rPr>
          <w:color w:val="000000"/>
          <w:szCs w:val="22"/>
        </w:rPr>
        <w:t xml:space="preserve">Le modèle d’analyse peut être représenté de la manière suivante : </w:t>
      </w:r>
    </w:p>
    <w:p w14:paraId="7AA9EE02" w14:textId="77777777" w:rsidR="00695D40" w:rsidRPr="000E33BF" w:rsidRDefault="00695D40" w:rsidP="00695D40">
      <w:pPr>
        <w:pStyle w:val="NormalWeb"/>
        <w:spacing w:before="0" w:beforeAutospacing="0" w:after="0" w:afterAutospacing="0"/>
        <w:jc w:val="center"/>
      </w:pPr>
      <w:r w:rsidRPr="000E33BF">
        <w:rPr>
          <w:noProof/>
        </w:rPr>
        <w:lastRenderedPageBreak/>
        <w:drawing>
          <wp:inline distT="0" distB="0" distL="0" distR="0" wp14:anchorId="0D284C30" wp14:editId="5DFF95BE">
            <wp:extent cx="4571999" cy="34290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14:paraId="641CB48A" w14:textId="77777777" w:rsidR="00695D40" w:rsidRPr="005F2B6D" w:rsidRDefault="00695D40" w:rsidP="00695D40">
      <w:pPr>
        <w:pStyle w:val="NormalWeb"/>
        <w:spacing w:before="0" w:beforeAutospacing="0" w:after="0" w:afterAutospacing="0"/>
        <w:jc w:val="both"/>
        <w:rPr>
          <w:color w:val="000000"/>
          <w:szCs w:val="22"/>
        </w:rPr>
      </w:pPr>
    </w:p>
    <w:p w14:paraId="3C470F0A" w14:textId="09CFE7B5" w:rsidR="00695D40" w:rsidRPr="005F2B6D" w:rsidRDefault="005F2B6D" w:rsidP="00B91402">
      <w:pPr>
        <w:pStyle w:val="NormalWeb"/>
        <w:spacing w:before="0" w:beforeAutospacing="0" w:after="0" w:afterAutospacing="0" w:line="276" w:lineRule="auto"/>
        <w:jc w:val="both"/>
        <w:rPr>
          <w:color w:val="000000"/>
          <w:szCs w:val="22"/>
        </w:rPr>
      </w:pPr>
      <w:r>
        <w:rPr>
          <w:color w:val="000000"/>
          <w:szCs w:val="22"/>
        </w:rPr>
        <w:t>Nous avons donc identifié s</w:t>
      </w:r>
      <w:r w:rsidR="00695D40" w:rsidRPr="005F2B6D">
        <w:rPr>
          <w:color w:val="000000"/>
          <w:szCs w:val="22"/>
        </w:rPr>
        <w:t xml:space="preserve">’il existait un lien entre chaque type de pratiques et les différents indicateurs de climat social (absentéisme en 2013 et 2017, données du baromètre social en 2012 et 2016). </w:t>
      </w:r>
    </w:p>
    <w:p w14:paraId="0D18C49C" w14:textId="77777777" w:rsidR="00695D40" w:rsidRPr="005F2B6D" w:rsidRDefault="00695D40" w:rsidP="00B91402">
      <w:pPr>
        <w:pStyle w:val="NormalWeb"/>
        <w:spacing w:before="0" w:beforeAutospacing="0" w:after="0" w:afterAutospacing="0" w:line="276" w:lineRule="auto"/>
        <w:jc w:val="both"/>
        <w:rPr>
          <w:color w:val="000000"/>
          <w:szCs w:val="22"/>
        </w:rPr>
      </w:pPr>
    </w:p>
    <w:p w14:paraId="0A3B3D36" w14:textId="77777777" w:rsidR="00695D40" w:rsidRPr="005F2B6D" w:rsidRDefault="00695D40" w:rsidP="00B91402">
      <w:pPr>
        <w:pStyle w:val="NormalWeb"/>
        <w:spacing w:before="0" w:beforeAutospacing="0" w:after="0" w:afterAutospacing="0" w:line="276" w:lineRule="auto"/>
        <w:jc w:val="both"/>
        <w:rPr>
          <w:color w:val="000000"/>
          <w:szCs w:val="22"/>
        </w:rPr>
      </w:pPr>
      <w:r w:rsidRPr="005F2B6D">
        <w:rPr>
          <w:color w:val="000000"/>
          <w:szCs w:val="22"/>
        </w:rPr>
        <w:t xml:space="preserve">Chacune des dimensions a été examinée successivement. </w:t>
      </w:r>
    </w:p>
    <w:p w14:paraId="1DA7FE5C" w14:textId="77777777" w:rsidR="00695D40" w:rsidRPr="000E33BF" w:rsidRDefault="00695D40" w:rsidP="00695D40">
      <w:pPr>
        <w:pStyle w:val="NormalWeb"/>
        <w:spacing w:before="0" w:beforeAutospacing="0" w:after="0" w:afterAutospacing="0"/>
        <w:jc w:val="both"/>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3"/>
        <w:gridCol w:w="992"/>
        <w:gridCol w:w="851"/>
        <w:gridCol w:w="709"/>
        <w:gridCol w:w="708"/>
        <w:gridCol w:w="567"/>
        <w:gridCol w:w="709"/>
      </w:tblGrid>
      <w:tr w:rsidR="00695D40" w:rsidRPr="000E33BF" w14:paraId="18AE81D3" w14:textId="77777777" w:rsidTr="00162678">
        <w:trPr>
          <w:trHeight w:val="300"/>
        </w:trPr>
        <w:tc>
          <w:tcPr>
            <w:tcW w:w="4693" w:type="dxa"/>
            <w:shd w:val="clear" w:color="auto" w:fill="auto"/>
            <w:noWrap/>
            <w:vAlign w:val="bottom"/>
            <w:hideMark/>
          </w:tcPr>
          <w:p w14:paraId="50D5DCA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Actions en rapport avec la construction du sens de et dans l’organisation</w:t>
            </w:r>
          </w:p>
        </w:tc>
        <w:tc>
          <w:tcPr>
            <w:tcW w:w="992" w:type="dxa"/>
          </w:tcPr>
          <w:p w14:paraId="377F96BD"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Hausse ou baisse de l’absentéisme</w:t>
            </w:r>
          </w:p>
        </w:tc>
        <w:tc>
          <w:tcPr>
            <w:tcW w:w="851" w:type="dxa"/>
          </w:tcPr>
          <w:p w14:paraId="34C6ABD9"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Détérioration des indicateurs de climat social</w:t>
            </w:r>
          </w:p>
        </w:tc>
        <w:tc>
          <w:tcPr>
            <w:tcW w:w="709" w:type="dxa"/>
          </w:tcPr>
          <w:p w14:paraId="44BB7FD8"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Absentéisme 2013</w:t>
            </w:r>
          </w:p>
        </w:tc>
        <w:tc>
          <w:tcPr>
            <w:tcW w:w="708" w:type="dxa"/>
          </w:tcPr>
          <w:p w14:paraId="68245D67"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Absentéisme 2017</w:t>
            </w:r>
          </w:p>
        </w:tc>
        <w:tc>
          <w:tcPr>
            <w:tcW w:w="567" w:type="dxa"/>
          </w:tcPr>
          <w:p w14:paraId="562033C0"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2012</w:t>
            </w:r>
          </w:p>
        </w:tc>
        <w:tc>
          <w:tcPr>
            <w:tcW w:w="709" w:type="dxa"/>
          </w:tcPr>
          <w:p w14:paraId="2C6E25D7"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2016</w:t>
            </w:r>
          </w:p>
        </w:tc>
      </w:tr>
      <w:tr w:rsidR="00695D40" w:rsidRPr="000E33BF" w14:paraId="18F7D7A8" w14:textId="77777777" w:rsidTr="00162678">
        <w:trPr>
          <w:trHeight w:val="300"/>
        </w:trPr>
        <w:tc>
          <w:tcPr>
            <w:tcW w:w="4693" w:type="dxa"/>
            <w:shd w:val="clear" w:color="auto" w:fill="auto"/>
            <w:noWrap/>
            <w:vAlign w:val="bottom"/>
            <w:hideMark/>
          </w:tcPr>
          <w:p w14:paraId="79B73186"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permettant de favoriser la transversalité entre les services</w:t>
            </w:r>
          </w:p>
        </w:tc>
        <w:tc>
          <w:tcPr>
            <w:tcW w:w="992" w:type="dxa"/>
          </w:tcPr>
          <w:p w14:paraId="03F3D28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3BE0274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214FF5B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8" w:type="dxa"/>
          </w:tcPr>
          <w:p w14:paraId="1392FB7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08C52F9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0FBE776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5E21B6EA" w14:textId="77777777" w:rsidTr="00162678">
        <w:trPr>
          <w:trHeight w:val="300"/>
        </w:trPr>
        <w:tc>
          <w:tcPr>
            <w:tcW w:w="4693" w:type="dxa"/>
            <w:shd w:val="clear" w:color="auto" w:fill="auto"/>
            <w:noWrap/>
            <w:vAlign w:val="bottom"/>
            <w:hideMark/>
          </w:tcPr>
          <w:p w14:paraId="7718F9B5"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permettant de renforcer la culture et le sentiment d'appartenance à l'organisme</w:t>
            </w:r>
          </w:p>
        </w:tc>
        <w:tc>
          <w:tcPr>
            <w:tcW w:w="992" w:type="dxa"/>
          </w:tcPr>
          <w:p w14:paraId="14307F0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2385129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4326304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2B16C0F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22F5FE9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5235343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4FD2BD1B" w14:textId="77777777" w:rsidTr="00162678">
        <w:trPr>
          <w:trHeight w:val="300"/>
        </w:trPr>
        <w:tc>
          <w:tcPr>
            <w:tcW w:w="4693" w:type="dxa"/>
            <w:shd w:val="clear" w:color="auto" w:fill="auto"/>
            <w:noWrap/>
            <w:vAlign w:val="bottom"/>
            <w:hideMark/>
          </w:tcPr>
          <w:p w14:paraId="4E731609"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permettant de favoriser l'engagement sociétal </w:t>
            </w:r>
          </w:p>
        </w:tc>
        <w:tc>
          <w:tcPr>
            <w:tcW w:w="992" w:type="dxa"/>
          </w:tcPr>
          <w:p w14:paraId="302127B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02FE810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9" w:type="dxa"/>
          </w:tcPr>
          <w:p w14:paraId="78A8138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6301E7C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5B26986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72B2C8E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198B29CC" w14:textId="77777777" w:rsidTr="00162678">
        <w:trPr>
          <w:trHeight w:val="300"/>
        </w:trPr>
        <w:tc>
          <w:tcPr>
            <w:tcW w:w="4693" w:type="dxa"/>
            <w:shd w:val="clear" w:color="auto" w:fill="auto"/>
            <w:noWrap/>
            <w:vAlign w:val="bottom"/>
            <w:hideMark/>
          </w:tcPr>
          <w:p w14:paraId="62AD97A3"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autour des valeurs du service public</w:t>
            </w:r>
          </w:p>
        </w:tc>
        <w:tc>
          <w:tcPr>
            <w:tcW w:w="992" w:type="dxa"/>
          </w:tcPr>
          <w:p w14:paraId="389F387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4F45BE1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9" w:type="dxa"/>
          </w:tcPr>
          <w:p w14:paraId="419A4D2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578F828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378E497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68A4E8F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4FAB1D1A" w14:textId="77777777" w:rsidTr="00162678">
        <w:trPr>
          <w:trHeight w:val="300"/>
        </w:trPr>
        <w:tc>
          <w:tcPr>
            <w:tcW w:w="4693" w:type="dxa"/>
            <w:shd w:val="clear" w:color="auto" w:fill="auto"/>
            <w:noWrap/>
            <w:vAlign w:val="bottom"/>
            <w:hideMark/>
          </w:tcPr>
          <w:p w14:paraId="0ACF429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espaces permettant la mise en discussion des valeurs et de la mission des différents services</w:t>
            </w:r>
          </w:p>
        </w:tc>
        <w:tc>
          <w:tcPr>
            <w:tcW w:w="992" w:type="dxa"/>
          </w:tcPr>
          <w:p w14:paraId="4C3964C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50DC17A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2684816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8" w:type="dxa"/>
          </w:tcPr>
          <w:p w14:paraId="4465A33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567" w:type="dxa"/>
          </w:tcPr>
          <w:p w14:paraId="0A342BF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0E86425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034A878F" w14:textId="77777777" w:rsidTr="00162678">
        <w:trPr>
          <w:trHeight w:val="300"/>
        </w:trPr>
        <w:tc>
          <w:tcPr>
            <w:tcW w:w="4693" w:type="dxa"/>
            <w:shd w:val="clear" w:color="auto" w:fill="auto"/>
            <w:noWrap/>
            <w:vAlign w:val="bottom"/>
            <w:hideMark/>
          </w:tcPr>
          <w:p w14:paraId="72885C1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visant à développer le sentiment de fierté des salariés et le sens du service public</w:t>
            </w:r>
          </w:p>
        </w:tc>
        <w:tc>
          <w:tcPr>
            <w:tcW w:w="992" w:type="dxa"/>
          </w:tcPr>
          <w:p w14:paraId="7440C80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7447665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722D62A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522DAAA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3CF8C5B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9" w:type="dxa"/>
          </w:tcPr>
          <w:p w14:paraId="2EC62A1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r w:rsidR="00695D40" w:rsidRPr="000E33BF" w14:paraId="16F6FD66" w14:textId="77777777" w:rsidTr="00162678">
        <w:trPr>
          <w:trHeight w:val="300"/>
        </w:trPr>
        <w:tc>
          <w:tcPr>
            <w:tcW w:w="4693" w:type="dxa"/>
            <w:shd w:val="clear" w:color="auto" w:fill="auto"/>
            <w:noWrap/>
            <w:vAlign w:val="bottom"/>
            <w:hideMark/>
          </w:tcPr>
          <w:p w14:paraId="5D3F3770"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Un travail de définition des valeurs de l'organisme</w:t>
            </w:r>
          </w:p>
        </w:tc>
        <w:tc>
          <w:tcPr>
            <w:tcW w:w="992" w:type="dxa"/>
          </w:tcPr>
          <w:p w14:paraId="5D3EB04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48FCCC6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2539C7D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8" w:type="dxa"/>
          </w:tcPr>
          <w:p w14:paraId="34B4165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567" w:type="dxa"/>
          </w:tcPr>
          <w:p w14:paraId="7BCABB6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2B848BE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bl>
    <w:p w14:paraId="1C63F08C" w14:textId="77777777" w:rsidR="00695D40" w:rsidRPr="000E33BF" w:rsidRDefault="00695D40" w:rsidP="00695D40">
      <w:pPr>
        <w:rPr>
          <w:rFonts w:ascii="Times New Roman" w:hAnsi="Times New Roman" w:cs="Times New Roman"/>
        </w:rPr>
      </w:pPr>
    </w:p>
    <w:p w14:paraId="410FF111" w14:textId="77777777"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t xml:space="preserve">Du point de vue des actions réalisées en faveur de la promotion du sens au travail, on peut observer que globalement, il n’y a pas vraiment de lien entre l’apparition des pratiques et les indicateurs objectifs (absentéisme) et subjectifs (satisfaction)  de performance sociale. </w:t>
      </w:r>
    </w:p>
    <w:p w14:paraId="1B9FFA96" w14:textId="77777777" w:rsidR="00695D40" w:rsidRPr="000E33BF" w:rsidRDefault="00695D40" w:rsidP="00B91402">
      <w:pPr>
        <w:spacing w:line="276" w:lineRule="auto"/>
        <w:jc w:val="both"/>
        <w:rPr>
          <w:rFonts w:ascii="Times New Roman" w:eastAsia="Times New Roman" w:hAnsi="Times New Roman" w:cs="Times New Roman"/>
        </w:rPr>
      </w:pPr>
    </w:p>
    <w:p w14:paraId="635D0510" w14:textId="77777777"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t xml:space="preserve">Cette analyse peut cependant être amendée par l’analyse des données réalisées lorsqu’on l’observe à travers quelques détails : </w:t>
      </w:r>
    </w:p>
    <w:p w14:paraId="029815FA" w14:textId="690EF283" w:rsidR="00695D40" w:rsidRPr="000E33BF" w:rsidRDefault="001124F6" w:rsidP="00B91402">
      <w:pPr>
        <w:pStyle w:val="Paragraphedeliste"/>
        <w:numPr>
          <w:ilvl w:val="0"/>
          <w:numId w:val="8"/>
        </w:numPr>
        <w:spacing w:before="0" w:after="200" w:line="276" w:lineRule="auto"/>
        <w:contextualSpacing/>
      </w:pPr>
      <w:r>
        <w:t>C</w:t>
      </w:r>
      <w:r w:rsidR="00695D40" w:rsidRPr="000E33BF">
        <w:t>’est ainsi qu’il existe un lien entre l’amélioration des indicateurs de climat social</w:t>
      </w:r>
      <w:r>
        <w:t>,</w:t>
      </w:r>
      <w:r w:rsidR="00695D40" w:rsidRPr="000E33BF">
        <w:t xml:space="preserve"> les pratiques visant l’engagement sociétal et les actions en faveur des valeurs du service public ;</w:t>
      </w:r>
    </w:p>
    <w:p w14:paraId="1F8FBF29" w14:textId="35762E62" w:rsidR="00695D40" w:rsidRPr="000E33BF" w:rsidRDefault="00695D40" w:rsidP="00B91402">
      <w:pPr>
        <w:pStyle w:val="Paragraphedeliste"/>
        <w:numPr>
          <w:ilvl w:val="0"/>
          <w:numId w:val="8"/>
        </w:numPr>
        <w:spacing w:before="0" w:after="200" w:line="276" w:lineRule="auto"/>
        <w:contextualSpacing/>
      </w:pPr>
      <w:r w:rsidRPr="000E33BF">
        <w:t>Mais aussi qu’un abse</w:t>
      </w:r>
      <w:r w:rsidR="001124F6">
        <w:t>ntéisme fort en 2013 et en 2017</w:t>
      </w:r>
      <w:r w:rsidRPr="000E33BF">
        <w:t xml:space="preserve"> correspond à des actions de définition des valeurs de l’organisme </w:t>
      </w:r>
      <w:r w:rsidR="001124F6">
        <w:t>et à la mise en place d’espaces</w:t>
      </w:r>
      <w:r w:rsidRPr="000E33BF">
        <w:t xml:space="preserve"> de discussion des valeurs ;</w:t>
      </w:r>
    </w:p>
    <w:p w14:paraId="68A5493B" w14:textId="77777777" w:rsidR="00695D40" w:rsidRPr="000E33BF" w:rsidRDefault="00695D40" w:rsidP="00B91402">
      <w:pPr>
        <w:pStyle w:val="Paragraphedeliste"/>
        <w:numPr>
          <w:ilvl w:val="0"/>
          <w:numId w:val="8"/>
        </w:numPr>
        <w:spacing w:before="0" w:after="200" w:line="276" w:lineRule="auto"/>
        <w:contextualSpacing/>
      </w:pPr>
      <w:r w:rsidRPr="000E33BF">
        <w:t>Et que des actions visant l’amélioration du sentiment de fierté se retrouvent dans les organisations qui ont connues le niveau de satisfaction le plus faible en 2012 et 2016.</w:t>
      </w:r>
    </w:p>
    <w:p w14:paraId="27F75C43" w14:textId="77777777" w:rsidR="00695D40" w:rsidRPr="000E33BF" w:rsidRDefault="00695D40" w:rsidP="00B91402">
      <w:pPr>
        <w:spacing w:line="276" w:lineRule="auto"/>
        <w:rPr>
          <w:rFonts w:ascii="Times New Roman" w:eastAsia="Times New Roman" w:hAnsi="Times New Roman" w:cs="Times New Roman"/>
        </w:rPr>
      </w:pPr>
      <w:r w:rsidRPr="000E33BF">
        <w:rPr>
          <w:rFonts w:ascii="Times New Roman" w:eastAsia="Times New Roman" w:hAnsi="Times New Roman" w:cs="Times New Roman"/>
        </w:rPr>
        <w:t xml:space="preserve">Ces analyses peuvent être complétées par une observation de celles qui visent le renforcement des liens. </w:t>
      </w:r>
    </w:p>
    <w:p w14:paraId="579B4B88" w14:textId="77777777" w:rsidR="00695D40" w:rsidRPr="000E33BF" w:rsidRDefault="00695D40" w:rsidP="00695D40">
      <w:pPr>
        <w:jc w:val="both"/>
        <w:rPr>
          <w:rFonts w:ascii="Times New Roman" w:eastAsia="Times New Roman" w:hAnsi="Times New Roman" w:cs="Times New Roman"/>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0"/>
        <w:gridCol w:w="1275"/>
        <w:gridCol w:w="851"/>
        <w:gridCol w:w="709"/>
        <w:gridCol w:w="708"/>
        <w:gridCol w:w="567"/>
        <w:gridCol w:w="709"/>
      </w:tblGrid>
      <w:tr w:rsidR="00695D40" w:rsidRPr="000E33BF" w14:paraId="548A06AF" w14:textId="77777777" w:rsidTr="00162678">
        <w:trPr>
          <w:trHeight w:val="300"/>
        </w:trPr>
        <w:tc>
          <w:tcPr>
            <w:tcW w:w="4410" w:type="dxa"/>
            <w:shd w:val="clear" w:color="auto" w:fill="auto"/>
            <w:noWrap/>
            <w:vAlign w:val="bottom"/>
            <w:hideMark/>
          </w:tcPr>
          <w:p w14:paraId="7BAD8E6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Actions en rapport avec la construction du Lien dans l’organisation</w:t>
            </w:r>
          </w:p>
        </w:tc>
        <w:tc>
          <w:tcPr>
            <w:tcW w:w="1275" w:type="dxa"/>
          </w:tcPr>
          <w:p w14:paraId="4C3CD1C5"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Hausse ou baisse de l’absentéisme</w:t>
            </w:r>
          </w:p>
        </w:tc>
        <w:tc>
          <w:tcPr>
            <w:tcW w:w="851" w:type="dxa"/>
          </w:tcPr>
          <w:p w14:paraId="54485000"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Détérioration des indicateurs de climat social</w:t>
            </w:r>
          </w:p>
        </w:tc>
        <w:tc>
          <w:tcPr>
            <w:tcW w:w="709" w:type="dxa"/>
          </w:tcPr>
          <w:p w14:paraId="7531FD3E"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Absentéisme 2013</w:t>
            </w:r>
          </w:p>
        </w:tc>
        <w:tc>
          <w:tcPr>
            <w:tcW w:w="708" w:type="dxa"/>
          </w:tcPr>
          <w:p w14:paraId="19CD2D49"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Absentéisme 2017</w:t>
            </w:r>
          </w:p>
        </w:tc>
        <w:tc>
          <w:tcPr>
            <w:tcW w:w="567" w:type="dxa"/>
          </w:tcPr>
          <w:p w14:paraId="6F4F0370"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2012</w:t>
            </w:r>
          </w:p>
        </w:tc>
        <w:tc>
          <w:tcPr>
            <w:tcW w:w="709" w:type="dxa"/>
          </w:tcPr>
          <w:p w14:paraId="4543C930"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2016</w:t>
            </w:r>
          </w:p>
        </w:tc>
      </w:tr>
      <w:tr w:rsidR="00695D40" w:rsidRPr="000E33BF" w14:paraId="2D235329" w14:textId="77777777" w:rsidTr="00162678">
        <w:trPr>
          <w:trHeight w:val="300"/>
        </w:trPr>
        <w:tc>
          <w:tcPr>
            <w:tcW w:w="4410" w:type="dxa"/>
            <w:shd w:val="clear" w:color="auto" w:fill="auto"/>
            <w:noWrap/>
            <w:vAlign w:val="bottom"/>
          </w:tcPr>
          <w:p w14:paraId="4E2F5605"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bilans réguliers avec les élus sur les thèmes relatifs à la santé et la sécurité (lutte contre les incivilités, Duer…)</w:t>
            </w:r>
          </w:p>
        </w:tc>
        <w:tc>
          <w:tcPr>
            <w:tcW w:w="1275" w:type="dxa"/>
          </w:tcPr>
          <w:p w14:paraId="0903CD9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71F3EB0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358C7A6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6941B6C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190E1B4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4D395FF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6293026E" w14:textId="77777777" w:rsidTr="00162678">
        <w:trPr>
          <w:trHeight w:val="300"/>
        </w:trPr>
        <w:tc>
          <w:tcPr>
            <w:tcW w:w="4410" w:type="dxa"/>
            <w:shd w:val="clear" w:color="auto" w:fill="auto"/>
            <w:noWrap/>
            <w:vAlign w:val="bottom"/>
          </w:tcPr>
          <w:p w14:paraId="3F3A09D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gestion de conflits et/ou de prévention des risques psychosociaux</w:t>
            </w:r>
          </w:p>
        </w:tc>
        <w:tc>
          <w:tcPr>
            <w:tcW w:w="1275" w:type="dxa"/>
          </w:tcPr>
          <w:p w14:paraId="30991F1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7D4A1A2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1EDA4CD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37C2CBE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4715BAD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27AE3E2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4F1EDC3C" w14:textId="77777777" w:rsidTr="00162678">
        <w:trPr>
          <w:trHeight w:val="300"/>
        </w:trPr>
        <w:tc>
          <w:tcPr>
            <w:tcW w:w="4410" w:type="dxa"/>
            <w:shd w:val="clear" w:color="auto" w:fill="auto"/>
            <w:noWrap/>
            <w:vAlign w:val="bottom"/>
          </w:tcPr>
          <w:p w14:paraId="3CD132D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formation des managers aux nouveaux enjeux et aux nouvelles pratiques managériales</w:t>
            </w:r>
          </w:p>
        </w:tc>
        <w:tc>
          <w:tcPr>
            <w:tcW w:w="1275" w:type="dxa"/>
          </w:tcPr>
          <w:p w14:paraId="4099409F" w14:textId="77777777" w:rsidR="00695D40" w:rsidRPr="000E33BF" w:rsidRDefault="00695D40" w:rsidP="00695D40">
            <w:pPr>
              <w:pStyle w:val="Paragraphedeliste"/>
              <w:numPr>
                <w:ilvl w:val="0"/>
                <w:numId w:val="8"/>
              </w:numPr>
              <w:spacing w:before="0" w:after="200"/>
              <w:contextualSpacing/>
              <w:jc w:val="center"/>
            </w:pPr>
            <w:r w:rsidRPr="000E33BF">
              <w:t>***</w:t>
            </w:r>
          </w:p>
        </w:tc>
        <w:tc>
          <w:tcPr>
            <w:tcW w:w="851" w:type="dxa"/>
          </w:tcPr>
          <w:p w14:paraId="5250E2A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0414518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8" w:type="dxa"/>
          </w:tcPr>
          <w:p w14:paraId="1A8768C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57CA720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0C846B8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3A8570B3" w14:textId="77777777" w:rsidTr="00162678">
        <w:trPr>
          <w:trHeight w:val="300"/>
        </w:trPr>
        <w:tc>
          <w:tcPr>
            <w:tcW w:w="4410" w:type="dxa"/>
            <w:shd w:val="clear" w:color="auto" w:fill="auto"/>
            <w:noWrap/>
            <w:vAlign w:val="bottom"/>
          </w:tcPr>
          <w:p w14:paraId="6DF3C5B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communication interne s'appuyant sur des supports variés (newsletters, réseaux sociaux…)</w:t>
            </w:r>
          </w:p>
        </w:tc>
        <w:tc>
          <w:tcPr>
            <w:tcW w:w="1275" w:type="dxa"/>
          </w:tcPr>
          <w:p w14:paraId="3BF5924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56F913C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2C792B7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8" w:type="dxa"/>
          </w:tcPr>
          <w:p w14:paraId="3F852A1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72AD184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7589977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r w:rsidR="00695D40" w:rsidRPr="000E33BF" w14:paraId="76296C62" w14:textId="77777777" w:rsidTr="00162678">
        <w:trPr>
          <w:trHeight w:val="300"/>
        </w:trPr>
        <w:tc>
          <w:tcPr>
            <w:tcW w:w="4410" w:type="dxa"/>
            <w:shd w:val="clear" w:color="auto" w:fill="auto"/>
            <w:noWrap/>
            <w:vAlign w:val="bottom"/>
          </w:tcPr>
          <w:p w14:paraId="2C415839"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L'implication des Irp dans les projets d'organisation et les groupes de travail</w:t>
            </w:r>
          </w:p>
        </w:tc>
        <w:tc>
          <w:tcPr>
            <w:tcW w:w="1275" w:type="dxa"/>
          </w:tcPr>
          <w:p w14:paraId="61E24A5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414AB7F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6A800F5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4DDA491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4A31C25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71F8F05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68BC714B" w14:textId="77777777" w:rsidTr="00162678">
        <w:trPr>
          <w:trHeight w:val="300"/>
        </w:trPr>
        <w:tc>
          <w:tcPr>
            <w:tcW w:w="4410" w:type="dxa"/>
            <w:shd w:val="clear" w:color="auto" w:fill="auto"/>
            <w:noWrap/>
            <w:vAlign w:val="bottom"/>
          </w:tcPr>
          <w:p w14:paraId="2E2FD494"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développement des espaces pour discuter du travail et des règles et procédures</w:t>
            </w:r>
          </w:p>
        </w:tc>
        <w:tc>
          <w:tcPr>
            <w:tcW w:w="1275" w:type="dxa"/>
          </w:tcPr>
          <w:p w14:paraId="7BFAF7AC" w14:textId="77777777" w:rsidR="00695D40" w:rsidRPr="000E33BF" w:rsidRDefault="00695D40" w:rsidP="00695D40">
            <w:pPr>
              <w:pStyle w:val="Paragraphedeliste"/>
              <w:numPr>
                <w:ilvl w:val="0"/>
                <w:numId w:val="8"/>
              </w:numPr>
              <w:spacing w:before="0" w:after="200"/>
              <w:contextualSpacing/>
              <w:jc w:val="center"/>
            </w:pPr>
            <w:r w:rsidRPr="000E33BF">
              <w:t>*</w:t>
            </w:r>
          </w:p>
        </w:tc>
        <w:tc>
          <w:tcPr>
            <w:tcW w:w="851" w:type="dxa"/>
          </w:tcPr>
          <w:p w14:paraId="65FC6D6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1FFD11A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4A9B37B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3FB45D1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9" w:type="dxa"/>
          </w:tcPr>
          <w:p w14:paraId="0564026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04B6E2C4" w14:textId="77777777" w:rsidTr="00162678">
        <w:trPr>
          <w:trHeight w:val="300"/>
        </w:trPr>
        <w:tc>
          <w:tcPr>
            <w:tcW w:w="4410" w:type="dxa"/>
            <w:shd w:val="clear" w:color="auto" w:fill="auto"/>
            <w:noWrap/>
            <w:vAlign w:val="bottom"/>
          </w:tcPr>
          <w:p w14:paraId="20534894"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pour favoriser le dialogue entre usagers et salariés</w:t>
            </w:r>
          </w:p>
        </w:tc>
        <w:tc>
          <w:tcPr>
            <w:tcW w:w="1275" w:type="dxa"/>
          </w:tcPr>
          <w:p w14:paraId="361412A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51" w:type="dxa"/>
          </w:tcPr>
          <w:p w14:paraId="3B1D90E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784CB2C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3173535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3051CCC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4D2AF99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4B2CEE6F" w14:textId="77777777" w:rsidTr="00162678">
        <w:trPr>
          <w:trHeight w:val="300"/>
        </w:trPr>
        <w:tc>
          <w:tcPr>
            <w:tcW w:w="4410" w:type="dxa"/>
            <w:shd w:val="clear" w:color="auto" w:fill="auto"/>
            <w:noWrap/>
            <w:vAlign w:val="bottom"/>
          </w:tcPr>
          <w:p w14:paraId="77262DCD"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de team-building (cohésion d'équipe)</w:t>
            </w:r>
          </w:p>
        </w:tc>
        <w:tc>
          <w:tcPr>
            <w:tcW w:w="1275" w:type="dxa"/>
          </w:tcPr>
          <w:p w14:paraId="0EB7FEF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51" w:type="dxa"/>
          </w:tcPr>
          <w:p w14:paraId="43BC4BE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29B99DE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708" w:type="dxa"/>
          </w:tcPr>
          <w:p w14:paraId="50EBD32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021155E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6E18DEE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07B3D0EF" w14:textId="77777777" w:rsidTr="00162678">
        <w:trPr>
          <w:trHeight w:val="300"/>
        </w:trPr>
        <w:tc>
          <w:tcPr>
            <w:tcW w:w="4410" w:type="dxa"/>
            <w:shd w:val="clear" w:color="auto" w:fill="auto"/>
            <w:noWrap/>
            <w:vAlign w:val="bottom"/>
          </w:tcPr>
          <w:p w14:paraId="15C3FBE8"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expériences de type "Vis mon travail"</w:t>
            </w:r>
          </w:p>
        </w:tc>
        <w:tc>
          <w:tcPr>
            <w:tcW w:w="1275" w:type="dxa"/>
          </w:tcPr>
          <w:p w14:paraId="1AA3B61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51" w:type="dxa"/>
          </w:tcPr>
          <w:p w14:paraId="158E77A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159080C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8" w:type="dxa"/>
          </w:tcPr>
          <w:p w14:paraId="63A946F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567" w:type="dxa"/>
          </w:tcPr>
          <w:p w14:paraId="7013F7B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709" w:type="dxa"/>
          </w:tcPr>
          <w:p w14:paraId="4913626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bl>
    <w:p w14:paraId="60E4147E" w14:textId="77777777" w:rsidR="00B91402" w:rsidRPr="000E33BF" w:rsidRDefault="00B91402" w:rsidP="00695D40">
      <w:pPr>
        <w:jc w:val="both"/>
        <w:rPr>
          <w:rFonts w:ascii="Times New Roman" w:eastAsia="Times New Roman" w:hAnsi="Times New Roman" w:cs="Times New Roman"/>
        </w:rPr>
      </w:pPr>
    </w:p>
    <w:p w14:paraId="1863126E" w14:textId="77777777"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t>En ce qui concerne les pratiques qui visent à renforcer le lien, la formation des managers apparaît comme une mesure avec un développement de la communication ou des actions de team building qui sont prises lorsque l’absentéisme est important. La formation des managers et la mise en place d’espaces de discussion sur le travail sont associées à une baisse de l’absentéisme.</w:t>
      </w:r>
    </w:p>
    <w:p w14:paraId="2BC6C2E1" w14:textId="77777777" w:rsidR="00695D40" w:rsidRPr="000E33BF" w:rsidRDefault="00695D40" w:rsidP="00695D40">
      <w:pPr>
        <w:jc w:val="both"/>
        <w:rPr>
          <w:rFonts w:ascii="Times New Roman" w:eastAsia="Times New Roman" w:hAnsi="Times New Roman" w:cs="Times New Roman"/>
        </w:rPr>
      </w:pPr>
    </w:p>
    <w:tbl>
      <w:tblPr>
        <w:tblW w:w="91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3"/>
        <w:gridCol w:w="1330"/>
        <w:gridCol w:w="931"/>
        <w:gridCol w:w="1014"/>
        <w:gridCol w:w="864"/>
        <w:gridCol w:w="801"/>
        <w:gridCol w:w="801"/>
      </w:tblGrid>
      <w:tr w:rsidR="00695D40" w:rsidRPr="000E33BF" w14:paraId="09508E6F" w14:textId="77777777" w:rsidTr="00162678">
        <w:trPr>
          <w:trHeight w:val="300"/>
        </w:trPr>
        <w:tc>
          <w:tcPr>
            <w:tcW w:w="3373" w:type="dxa"/>
            <w:shd w:val="clear" w:color="auto" w:fill="auto"/>
            <w:noWrap/>
            <w:vAlign w:val="bottom"/>
            <w:hideMark/>
          </w:tcPr>
          <w:p w14:paraId="032EFF11" w14:textId="77777777" w:rsidR="00695D40" w:rsidRPr="000E33BF" w:rsidRDefault="00695D40" w:rsidP="00162678">
            <w:pPr>
              <w:rPr>
                <w:rFonts w:ascii="Times New Roman" w:eastAsia="Times New Roman" w:hAnsi="Times New Roman" w:cs="Times New Roman"/>
                <w:color w:val="000000"/>
              </w:rPr>
            </w:pPr>
          </w:p>
        </w:tc>
        <w:tc>
          <w:tcPr>
            <w:tcW w:w="1330" w:type="dxa"/>
            <w:shd w:val="clear" w:color="auto" w:fill="auto"/>
            <w:noWrap/>
          </w:tcPr>
          <w:p w14:paraId="3CFBF409"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Hausse ou baisse de l’absentéisme</w:t>
            </w:r>
          </w:p>
        </w:tc>
        <w:tc>
          <w:tcPr>
            <w:tcW w:w="931" w:type="dxa"/>
            <w:shd w:val="clear" w:color="auto" w:fill="auto"/>
            <w:noWrap/>
          </w:tcPr>
          <w:p w14:paraId="28CDD457"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 xml:space="preserve">Détérioration des indicateurs de </w:t>
            </w:r>
            <w:r w:rsidRPr="000E33BF">
              <w:rPr>
                <w:rFonts w:ascii="Times New Roman" w:eastAsia="Times New Roman" w:hAnsi="Times New Roman" w:cs="Times New Roman"/>
                <w:color w:val="000000"/>
                <w:sz w:val="14"/>
              </w:rPr>
              <w:lastRenderedPageBreak/>
              <w:t>climat social</w:t>
            </w:r>
          </w:p>
        </w:tc>
        <w:tc>
          <w:tcPr>
            <w:tcW w:w="1014" w:type="dxa"/>
            <w:shd w:val="clear" w:color="auto" w:fill="auto"/>
            <w:noWrap/>
          </w:tcPr>
          <w:p w14:paraId="7B57DAA1"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lastRenderedPageBreak/>
              <w:t>Absentéisme 2013</w:t>
            </w:r>
          </w:p>
        </w:tc>
        <w:tc>
          <w:tcPr>
            <w:tcW w:w="864" w:type="dxa"/>
          </w:tcPr>
          <w:p w14:paraId="746B4833"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Absentéisme 2017</w:t>
            </w:r>
          </w:p>
        </w:tc>
        <w:tc>
          <w:tcPr>
            <w:tcW w:w="801" w:type="dxa"/>
          </w:tcPr>
          <w:p w14:paraId="52BDB427"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2012</w:t>
            </w:r>
          </w:p>
        </w:tc>
        <w:tc>
          <w:tcPr>
            <w:tcW w:w="801" w:type="dxa"/>
          </w:tcPr>
          <w:p w14:paraId="52B51E19"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2016</w:t>
            </w:r>
          </w:p>
        </w:tc>
      </w:tr>
      <w:tr w:rsidR="00695D40" w:rsidRPr="000E33BF" w14:paraId="0A31F0E5" w14:textId="77777777" w:rsidTr="00162678">
        <w:trPr>
          <w:trHeight w:val="300"/>
        </w:trPr>
        <w:tc>
          <w:tcPr>
            <w:tcW w:w="3373" w:type="dxa"/>
            <w:shd w:val="clear" w:color="auto" w:fill="auto"/>
            <w:noWrap/>
            <w:vAlign w:val="bottom"/>
            <w:hideMark/>
          </w:tcPr>
          <w:p w14:paraId="7274FAA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réunions de service permettant d'informer régulièrement</w:t>
            </w:r>
          </w:p>
        </w:tc>
        <w:tc>
          <w:tcPr>
            <w:tcW w:w="1330" w:type="dxa"/>
            <w:shd w:val="clear" w:color="auto" w:fill="auto"/>
            <w:noWrap/>
          </w:tcPr>
          <w:p w14:paraId="0CC00F8B" w14:textId="77777777" w:rsidR="00695D40" w:rsidRPr="000E33BF" w:rsidRDefault="00695D40" w:rsidP="00695D40">
            <w:pPr>
              <w:pStyle w:val="Paragraphedeliste"/>
              <w:numPr>
                <w:ilvl w:val="0"/>
                <w:numId w:val="8"/>
              </w:numPr>
              <w:spacing w:before="0" w:after="200"/>
              <w:contextualSpacing/>
              <w:jc w:val="left"/>
            </w:pPr>
            <w:r w:rsidRPr="000E33BF">
              <w:t>*</w:t>
            </w:r>
          </w:p>
        </w:tc>
        <w:tc>
          <w:tcPr>
            <w:tcW w:w="931" w:type="dxa"/>
            <w:shd w:val="clear" w:color="auto" w:fill="auto"/>
            <w:noWrap/>
          </w:tcPr>
          <w:p w14:paraId="3F20F02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6DAB06C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552EDF1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02328D5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8651DB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062BDBD2" w14:textId="77777777" w:rsidTr="00162678">
        <w:trPr>
          <w:trHeight w:val="300"/>
        </w:trPr>
        <w:tc>
          <w:tcPr>
            <w:tcW w:w="3373" w:type="dxa"/>
            <w:shd w:val="clear" w:color="auto" w:fill="auto"/>
            <w:noWrap/>
            <w:vAlign w:val="bottom"/>
            <w:hideMark/>
          </w:tcPr>
          <w:p w14:paraId="38F32B8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L'affichage et l'explication de la politique de rémunération</w:t>
            </w:r>
          </w:p>
        </w:tc>
        <w:tc>
          <w:tcPr>
            <w:tcW w:w="1330" w:type="dxa"/>
            <w:shd w:val="clear" w:color="auto" w:fill="auto"/>
            <w:noWrap/>
          </w:tcPr>
          <w:p w14:paraId="63D9A59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2FB1AF7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4EA5A23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434C784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7AF68B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4F518A1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r w:rsidR="00695D40" w:rsidRPr="000E33BF" w14:paraId="0C9C8419" w14:textId="77777777" w:rsidTr="00162678">
        <w:trPr>
          <w:trHeight w:val="300"/>
        </w:trPr>
        <w:tc>
          <w:tcPr>
            <w:tcW w:w="3373" w:type="dxa"/>
            <w:shd w:val="clear" w:color="auto" w:fill="auto"/>
            <w:noWrap/>
            <w:vAlign w:val="bottom"/>
            <w:hideMark/>
          </w:tcPr>
          <w:p w14:paraId="5B9CA8A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visant à réguler la charge de travail</w:t>
            </w:r>
          </w:p>
        </w:tc>
        <w:tc>
          <w:tcPr>
            <w:tcW w:w="1330" w:type="dxa"/>
            <w:shd w:val="clear" w:color="auto" w:fill="auto"/>
            <w:noWrap/>
          </w:tcPr>
          <w:p w14:paraId="23FE222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6771CB3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138E305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50E20D6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B298D1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416E00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21751E4A" w14:textId="77777777" w:rsidTr="00162678">
        <w:trPr>
          <w:trHeight w:val="300"/>
        </w:trPr>
        <w:tc>
          <w:tcPr>
            <w:tcW w:w="3373" w:type="dxa"/>
            <w:shd w:val="clear" w:color="auto" w:fill="auto"/>
            <w:noWrap/>
            <w:vAlign w:val="bottom"/>
            <w:hideMark/>
          </w:tcPr>
          <w:p w14:paraId="6B845E9D"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permettant d'adapter le travail en fonction de l'évolution des compétences des salariés </w:t>
            </w:r>
          </w:p>
        </w:tc>
        <w:tc>
          <w:tcPr>
            <w:tcW w:w="1330" w:type="dxa"/>
            <w:shd w:val="clear" w:color="auto" w:fill="auto"/>
            <w:noWrap/>
          </w:tcPr>
          <w:p w14:paraId="502E9B5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2709CDB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3E26BEE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6F76655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2C1A374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4C8ABD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6817A2D9" w14:textId="77777777" w:rsidTr="00162678">
        <w:trPr>
          <w:trHeight w:val="300"/>
        </w:trPr>
        <w:tc>
          <w:tcPr>
            <w:tcW w:w="3373" w:type="dxa"/>
            <w:shd w:val="clear" w:color="auto" w:fill="auto"/>
            <w:noWrap/>
            <w:vAlign w:val="bottom"/>
            <w:hideMark/>
          </w:tcPr>
          <w:p w14:paraId="2517C5CA"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mise en place d'organisations visant à varier les tâches</w:t>
            </w:r>
          </w:p>
        </w:tc>
        <w:tc>
          <w:tcPr>
            <w:tcW w:w="1330" w:type="dxa"/>
            <w:shd w:val="clear" w:color="auto" w:fill="auto"/>
            <w:noWrap/>
          </w:tcPr>
          <w:p w14:paraId="1C0BA61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05F03DD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6C81276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31D0E95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694897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7B6B8D4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2EA202AE" w14:textId="77777777" w:rsidTr="00162678">
        <w:trPr>
          <w:trHeight w:val="300"/>
        </w:trPr>
        <w:tc>
          <w:tcPr>
            <w:tcW w:w="3373" w:type="dxa"/>
            <w:shd w:val="clear" w:color="auto" w:fill="auto"/>
            <w:noWrap/>
            <w:vAlign w:val="bottom"/>
            <w:hideMark/>
          </w:tcPr>
          <w:p w14:paraId="6DCF58BD"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d'amélioration de la qualité du travail </w:t>
            </w:r>
          </w:p>
        </w:tc>
        <w:tc>
          <w:tcPr>
            <w:tcW w:w="1330" w:type="dxa"/>
            <w:shd w:val="clear" w:color="auto" w:fill="auto"/>
            <w:noWrap/>
          </w:tcPr>
          <w:p w14:paraId="468C38C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0C6C112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28D9CDB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46B6D90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FB1983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B28932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1AA4AEEF" w14:textId="77777777" w:rsidTr="00162678">
        <w:trPr>
          <w:trHeight w:val="300"/>
        </w:trPr>
        <w:tc>
          <w:tcPr>
            <w:tcW w:w="3373" w:type="dxa"/>
            <w:shd w:val="clear" w:color="auto" w:fill="auto"/>
            <w:noWrap/>
            <w:vAlign w:val="bottom"/>
            <w:hideMark/>
          </w:tcPr>
          <w:p w14:paraId="184D99F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actions permettant de valoriser le travail et l'implication des équipes</w:t>
            </w:r>
          </w:p>
        </w:tc>
        <w:tc>
          <w:tcPr>
            <w:tcW w:w="1330" w:type="dxa"/>
            <w:shd w:val="clear" w:color="auto" w:fill="auto"/>
            <w:noWrap/>
          </w:tcPr>
          <w:p w14:paraId="7417660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40B1EC3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04BFD36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4E1CB1B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DDB6B6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25B48D7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63836A1C" w14:textId="77777777" w:rsidTr="00162678">
        <w:trPr>
          <w:trHeight w:val="300"/>
        </w:trPr>
        <w:tc>
          <w:tcPr>
            <w:tcW w:w="3373" w:type="dxa"/>
            <w:shd w:val="clear" w:color="auto" w:fill="auto"/>
            <w:noWrap/>
            <w:vAlign w:val="bottom"/>
            <w:hideMark/>
          </w:tcPr>
          <w:p w14:paraId="3AD7B4F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participation des équipes aux décisions et aux projets</w:t>
            </w:r>
          </w:p>
        </w:tc>
        <w:tc>
          <w:tcPr>
            <w:tcW w:w="1330" w:type="dxa"/>
            <w:shd w:val="clear" w:color="auto" w:fill="auto"/>
            <w:noWrap/>
          </w:tcPr>
          <w:p w14:paraId="0046D6D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38AC4E1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1014" w:type="dxa"/>
            <w:shd w:val="clear" w:color="auto" w:fill="auto"/>
            <w:noWrap/>
          </w:tcPr>
          <w:p w14:paraId="453CC8B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47ECB5C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F05531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A51E9C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2B14B435" w14:textId="77777777" w:rsidTr="00162678">
        <w:trPr>
          <w:trHeight w:val="300"/>
        </w:trPr>
        <w:tc>
          <w:tcPr>
            <w:tcW w:w="3373" w:type="dxa"/>
            <w:shd w:val="clear" w:color="auto" w:fill="auto"/>
            <w:noWrap/>
            <w:vAlign w:val="bottom"/>
            <w:hideMark/>
          </w:tcPr>
          <w:p w14:paraId="438AB20D"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Le management visuel</w:t>
            </w:r>
          </w:p>
        </w:tc>
        <w:tc>
          <w:tcPr>
            <w:tcW w:w="1330" w:type="dxa"/>
            <w:shd w:val="clear" w:color="auto" w:fill="auto"/>
            <w:noWrap/>
          </w:tcPr>
          <w:p w14:paraId="3ADD7C8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5E0039A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49B00B3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01AA1CA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761957C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454960D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327C5415" w14:textId="77777777" w:rsidTr="00162678">
        <w:trPr>
          <w:trHeight w:val="300"/>
        </w:trPr>
        <w:tc>
          <w:tcPr>
            <w:tcW w:w="3373" w:type="dxa"/>
            <w:shd w:val="clear" w:color="auto" w:fill="auto"/>
            <w:noWrap/>
            <w:vAlign w:val="bottom"/>
            <w:hideMark/>
          </w:tcPr>
          <w:p w14:paraId="54520D26"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connaissance précise par les acteurs des rôles de chacun </w:t>
            </w:r>
          </w:p>
        </w:tc>
        <w:tc>
          <w:tcPr>
            <w:tcW w:w="1330" w:type="dxa"/>
            <w:shd w:val="clear" w:color="auto" w:fill="auto"/>
            <w:noWrap/>
          </w:tcPr>
          <w:p w14:paraId="6ACF57F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2F6EDE4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4B50FB3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7CC24F2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4562C99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79DD1BB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20555466" w14:textId="77777777" w:rsidTr="00162678">
        <w:trPr>
          <w:trHeight w:val="300"/>
        </w:trPr>
        <w:tc>
          <w:tcPr>
            <w:tcW w:w="3373" w:type="dxa"/>
            <w:shd w:val="clear" w:color="auto" w:fill="auto"/>
            <w:noWrap/>
            <w:vAlign w:val="bottom"/>
            <w:hideMark/>
          </w:tcPr>
          <w:p w14:paraId="66B269F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simplification des circuits de travail interne</w:t>
            </w:r>
          </w:p>
        </w:tc>
        <w:tc>
          <w:tcPr>
            <w:tcW w:w="1330" w:type="dxa"/>
            <w:shd w:val="clear" w:color="auto" w:fill="auto"/>
            <w:noWrap/>
          </w:tcPr>
          <w:p w14:paraId="6599103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3C10BB4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68ED080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6858E23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4EAEEE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3DC2A7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45F7958F" w14:textId="77777777" w:rsidTr="00162678">
        <w:trPr>
          <w:trHeight w:val="300"/>
        </w:trPr>
        <w:tc>
          <w:tcPr>
            <w:tcW w:w="3373" w:type="dxa"/>
            <w:shd w:val="clear" w:color="auto" w:fill="auto"/>
            <w:noWrap/>
            <w:vAlign w:val="bottom"/>
            <w:hideMark/>
          </w:tcPr>
          <w:p w14:paraId="04937FA3"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visant à promouvoir l'autonomie et la responsabilisation </w:t>
            </w:r>
          </w:p>
        </w:tc>
        <w:tc>
          <w:tcPr>
            <w:tcW w:w="1330" w:type="dxa"/>
            <w:shd w:val="clear" w:color="auto" w:fill="auto"/>
            <w:noWrap/>
          </w:tcPr>
          <w:p w14:paraId="299434A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35B3E8F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51FD3BD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7AECDD4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BF2B00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585813A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79FEC569" w14:textId="77777777" w:rsidTr="00162678">
        <w:trPr>
          <w:trHeight w:val="300"/>
        </w:trPr>
        <w:tc>
          <w:tcPr>
            <w:tcW w:w="3373" w:type="dxa"/>
            <w:shd w:val="clear" w:color="auto" w:fill="auto"/>
            <w:noWrap/>
            <w:vAlign w:val="bottom"/>
            <w:hideMark/>
          </w:tcPr>
          <w:p w14:paraId="4631744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Le recensement des irritants et la mise en œuvre d'actions correctives</w:t>
            </w:r>
          </w:p>
        </w:tc>
        <w:tc>
          <w:tcPr>
            <w:tcW w:w="1330" w:type="dxa"/>
            <w:shd w:val="clear" w:color="auto" w:fill="auto"/>
            <w:noWrap/>
          </w:tcPr>
          <w:p w14:paraId="7245AB4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75C83EB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1E1C069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3434D92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A7B2C9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1269A57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09A0AA67" w14:textId="77777777" w:rsidTr="00162678">
        <w:trPr>
          <w:trHeight w:val="300"/>
        </w:trPr>
        <w:tc>
          <w:tcPr>
            <w:tcW w:w="3373" w:type="dxa"/>
            <w:shd w:val="clear" w:color="auto" w:fill="auto"/>
            <w:noWrap/>
            <w:vAlign w:val="bottom"/>
            <w:hideMark/>
          </w:tcPr>
          <w:p w14:paraId="3DE849E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prise en compte de la charge cognitive et l'évolution de la polyvalence </w:t>
            </w:r>
          </w:p>
        </w:tc>
        <w:tc>
          <w:tcPr>
            <w:tcW w:w="1330" w:type="dxa"/>
            <w:shd w:val="clear" w:color="auto" w:fill="auto"/>
            <w:noWrap/>
          </w:tcPr>
          <w:p w14:paraId="1367E70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1416D5A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4B0F46E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241FE09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75F7BE1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C43A1B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655A667A" w14:textId="77777777" w:rsidTr="00162678">
        <w:trPr>
          <w:trHeight w:val="300"/>
        </w:trPr>
        <w:tc>
          <w:tcPr>
            <w:tcW w:w="3373" w:type="dxa"/>
            <w:shd w:val="clear" w:color="auto" w:fill="auto"/>
            <w:noWrap/>
            <w:vAlign w:val="bottom"/>
            <w:hideMark/>
          </w:tcPr>
          <w:p w14:paraId="73B5E39E"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innovantes dans lesquelles les salariés peuvent s'engager </w:t>
            </w:r>
          </w:p>
        </w:tc>
        <w:tc>
          <w:tcPr>
            <w:tcW w:w="1330" w:type="dxa"/>
            <w:shd w:val="clear" w:color="auto" w:fill="auto"/>
            <w:noWrap/>
          </w:tcPr>
          <w:p w14:paraId="23EA191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66D04D9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603E287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4BA46D4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7E00E7C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3C9875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r w:rsidR="00695D40" w:rsidRPr="000E33BF" w14:paraId="35C1F23E" w14:textId="77777777" w:rsidTr="00162678">
        <w:trPr>
          <w:trHeight w:val="300"/>
        </w:trPr>
        <w:tc>
          <w:tcPr>
            <w:tcW w:w="3373" w:type="dxa"/>
            <w:shd w:val="clear" w:color="auto" w:fill="auto"/>
            <w:noWrap/>
            <w:vAlign w:val="bottom"/>
            <w:hideMark/>
          </w:tcPr>
          <w:p w14:paraId="581A4DE8"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formations innovantes</w:t>
            </w:r>
          </w:p>
        </w:tc>
        <w:tc>
          <w:tcPr>
            <w:tcW w:w="1330" w:type="dxa"/>
            <w:shd w:val="clear" w:color="auto" w:fill="auto"/>
            <w:noWrap/>
          </w:tcPr>
          <w:p w14:paraId="042B933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16BBD8A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1014" w:type="dxa"/>
            <w:shd w:val="clear" w:color="auto" w:fill="auto"/>
            <w:noWrap/>
          </w:tcPr>
          <w:p w14:paraId="3F7394E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50241CA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146C68D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1DFE099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17866CA2" w14:textId="77777777" w:rsidTr="00162678">
        <w:trPr>
          <w:trHeight w:val="300"/>
        </w:trPr>
        <w:tc>
          <w:tcPr>
            <w:tcW w:w="3373" w:type="dxa"/>
            <w:shd w:val="clear" w:color="auto" w:fill="auto"/>
            <w:noWrap/>
            <w:vAlign w:val="bottom"/>
            <w:hideMark/>
          </w:tcPr>
          <w:p w14:paraId="6C7703F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L'utilisation d'outils d'animation digitale </w:t>
            </w:r>
          </w:p>
        </w:tc>
        <w:tc>
          <w:tcPr>
            <w:tcW w:w="1330" w:type="dxa"/>
            <w:shd w:val="clear" w:color="auto" w:fill="auto"/>
            <w:noWrap/>
          </w:tcPr>
          <w:p w14:paraId="2CDF496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0D10FE2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5FF37F1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1B5FED3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4A1C894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43CC813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771C4338" w14:textId="77777777" w:rsidTr="00162678">
        <w:trPr>
          <w:trHeight w:val="300"/>
        </w:trPr>
        <w:tc>
          <w:tcPr>
            <w:tcW w:w="3373" w:type="dxa"/>
            <w:shd w:val="clear" w:color="auto" w:fill="auto"/>
            <w:noWrap/>
            <w:vAlign w:val="bottom"/>
            <w:hideMark/>
          </w:tcPr>
          <w:p w14:paraId="1B023F2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D'autres actions portant sur le contenu du travail</w:t>
            </w:r>
          </w:p>
        </w:tc>
        <w:tc>
          <w:tcPr>
            <w:tcW w:w="1330" w:type="dxa"/>
            <w:shd w:val="clear" w:color="auto" w:fill="auto"/>
            <w:noWrap/>
          </w:tcPr>
          <w:p w14:paraId="403E36E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931" w:type="dxa"/>
            <w:shd w:val="clear" w:color="auto" w:fill="auto"/>
            <w:noWrap/>
          </w:tcPr>
          <w:p w14:paraId="2DCE07E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5412E32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73A1BAD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1E88C7B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06328A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2CAF17C0" w14:textId="77777777" w:rsidTr="00162678">
        <w:trPr>
          <w:trHeight w:val="300"/>
        </w:trPr>
        <w:tc>
          <w:tcPr>
            <w:tcW w:w="3373" w:type="dxa"/>
            <w:shd w:val="clear" w:color="auto" w:fill="auto"/>
            <w:noWrap/>
            <w:vAlign w:val="bottom"/>
            <w:hideMark/>
          </w:tcPr>
          <w:p w14:paraId="124BBB6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mise en œuvre d'une plateforme collaborative </w:t>
            </w:r>
          </w:p>
        </w:tc>
        <w:tc>
          <w:tcPr>
            <w:tcW w:w="1330" w:type="dxa"/>
            <w:shd w:val="clear" w:color="auto" w:fill="auto"/>
            <w:noWrap/>
            <w:vAlign w:val="bottom"/>
          </w:tcPr>
          <w:p w14:paraId="7E610A1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w:t>
            </w:r>
          </w:p>
        </w:tc>
        <w:tc>
          <w:tcPr>
            <w:tcW w:w="931" w:type="dxa"/>
            <w:shd w:val="clear" w:color="auto" w:fill="auto"/>
            <w:noWrap/>
          </w:tcPr>
          <w:p w14:paraId="6BCD5D5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014" w:type="dxa"/>
            <w:shd w:val="clear" w:color="auto" w:fill="auto"/>
            <w:noWrap/>
          </w:tcPr>
          <w:p w14:paraId="4081A60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48CBE80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1926F2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79BEEDA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bl>
    <w:p w14:paraId="542EE78E" w14:textId="77777777" w:rsidR="00695D40" w:rsidRPr="000E33BF" w:rsidRDefault="00695D40" w:rsidP="00695D40">
      <w:pPr>
        <w:jc w:val="both"/>
        <w:rPr>
          <w:rFonts w:ascii="Times New Roman" w:eastAsia="Times New Roman" w:hAnsi="Times New Roman" w:cs="Times New Roman"/>
        </w:rPr>
      </w:pPr>
    </w:p>
    <w:p w14:paraId="26762561" w14:textId="1212DEC8"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t xml:space="preserve">Parmi l’ensemble de ces pratiques qui visent une amélioration de l’activité, il convient d’indiquer que globalement, aucune pratique ne peut être associée d’une manière explicite avec un progrès significatif sur l’ensemble des critères que nous avons retenus. Ainsi, les </w:t>
      </w:r>
      <w:r w:rsidRPr="000E33BF">
        <w:rPr>
          <w:rFonts w:ascii="Times New Roman" w:eastAsia="Times New Roman" w:hAnsi="Times New Roman" w:cs="Times New Roman"/>
        </w:rPr>
        <w:lastRenderedPageBreak/>
        <w:t xml:space="preserve">réunions et les plateformes collaboratives sont associées avec une diminution de l’absentéisme. De la même façon, un niveau élevé d’absentéisme en 2013 est associé </w:t>
      </w:r>
      <w:r w:rsidR="001124F6">
        <w:rPr>
          <w:rFonts w:ascii="Times New Roman" w:eastAsia="Times New Roman" w:hAnsi="Times New Roman" w:cs="Times New Roman"/>
        </w:rPr>
        <w:t>à</w:t>
      </w:r>
      <w:r w:rsidRPr="000E33BF">
        <w:rPr>
          <w:rFonts w:ascii="Times New Roman" w:eastAsia="Times New Roman" w:hAnsi="Times New Roman" w:cs="Times New Roman"/>
        </w:rPr>
        <w:t xml:space="preserve"> un ensemble de démarches : réunion, management visuel, outils d’animation digitale, actions innovantes dans lesquelles les salariés peuvent s’engager. </w:t>
      </w:r>
    </w:p>
    <w:p w14:paraId="1D84B835" w14:textId="77777777" w:rsidR="00695D40" w:rsidRPr="000E33BF" w:rsidRDefault="00695D40" w:rsidP="00B91402">
      <w:pPr>
        <w:spacing w:line="276" w:lineRule="auto"/>
        <w:jc w:val="both"/>
        <w:rPr>
          <w:rFonts w:ascii="Times New Roman" w:eastAsia="Times New Roman" w:hAnsi="Times New Roman" w:cs="Times New Roman"/>
        </w:rPr>
      </w:pPr>
    </w:p>
    <w:p w14:paraId="079B850D" w14:textId="77777777"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t>Si l’on observe enfin les pratiques associées à une amélioration du confort, on retrouve un résultat équivalent avec quelques pratiques qui sont associées à des niveaux d’indicateurs significativement différents.</w:t>
      </w:r>
    </w:p>
    <w:p w14:paraId="744BF53F" w14:textId="77777777" w:rsidR="00695D40" w:rsidRPr="000E33BF" w:rsidRDefault="00695D40" w:rsidP="00695D40">
      <w:pPr>
        <w:jc w:val="both"/>
        <w:rPr>
          <w:rFonts w:ascii="Times New Roman" w:eastAsia="Times New Roman" w:hAnsi="Times New Roman" w:cs="Times New Roman"/>
        </w:rPr>
      </w:pPr>
    </w:p>
    <w:tbl>
      <w:tblPr>
        <w:tblW w:w="91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4"/>
        <w:gridCol w:w="1330"/>
        <w:gridCol w:w="1440"/>
        <w:gridCol w:w="864"/>
        <w:gridCol w:w="864"/>
        <w:gridCol w:w="801"/>
        <w:gridCol w:w="801"/>
      </w:tblGrid>
      <w:tr w:rsidR="00695D40" w:rsidRPr="000E33BF" w14:paraId="4EB2CCA0" w14:textId="77777777" w:rsidTr="00162678">
        <w:trPr>
          <w:trHeight w:val="300"/>
        </w:trPr>
        <w:tc>
          <w:tcPr>
            <w:tcW w:w="3014" w:type="dxa"/>
            <w:shd w:val="clear" w:color="auto" w:fill="auto"/>
            <w:noWrap/>
            <w:vAlign w:val="bottom"/>
            <w:hideMark/>
          </w:tcPr>
          <w:p w14:paraId="210C7490" w14:textId="77777777" w:rsidR="00695D40" w:rsidRPr="000E33BF" w:rsidRDefault="00695D40" w:rsidP="00162678">
            <w:pPr>
              <w:rPr>
                <w:rFonts w:ascii="Times New Roman" w:eastAsia="Times New Roman" w:hAnsi="Times New Roman" w:cs="Times New Roman"/>
                <w:color w:val="000000"/>
              </w:rPr>
            </w:pPr>
          </w:p>
        </w:tc>
        <w:tc>
          <w:tcPr>
            <w:tcW w:w="1330" w:type="dxa"/>
            <w:shd w:val="clear" w:color="auto" w:fill="auto"/>
            <w:noWrap/>
          </w:tcPr>
          <w:p w14:paraId="75E089C2"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Hausse ou baisse de l’absentéisme</w:t>
            </w:r>
          </w:p>
        </w:tc>
        <w:tc>
          <w:tcPr>
            <w:tcW w:w="1440" w:type="dxa"/>
            <w:shd w:val="clear" w:color="auto" w:fill="auto"/>
            <w:noWrap/>
          </w:tcPr>
          <w:p w14:paraId="4211C253"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Variation des indicateurs de climat social</w:t>
            </w:r>
          </w:p>
        </w:tc>
        <w:tc>
          <w:tcPr>
            <w:tcW w:w="864" w:type="dxa"/>
            <w:shd w:val="clear" w:color="auto" w:fill="auto"/>
            <w:noWrap/>
          </w:tcPr>
          <w:p w14:paraId="3E58C4BE"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Absentéisme 2013</w:t>
            </w:r>
          </w:p>
        </w:tc>
        <w:tc>
          <w:tcPr>
            <w:tcW w:w="864" w:type="dxa"/>
          </w:tcPr>
          <w:p w14:paraId="6E8077A6"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Absentéisme 2017</w:t>
            </w:r>
          </w:p>
        </w:tc>
        <w:tc>
          <w:tcPr>
            <w:tcW w:w="801" w:type="dxa"/>
          </w:tcPr>
          <w:p w14:paraId="517B1836"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2012</w:t>
            </w:r>
          </w:p>
        </w:tc>
        <w:tc>
          <w:tcPr>
            <w:tcW w:w="801" w:type="dxa"/>
          </w:tcPr>
          <w:p w14:paraId="7A5CA1A9" w14:textId="77777777" w:rsidR="00695D40" w:rsidRPr="000E33BF" w:rsidRDefault="00695D40" w:rsidP="00162678">
            <w:pPr>
              <w:jc w:val="center"/>
              <w:rPr>
                <w:rFonts w:ascii="Times New Roman" w:eastAsia="Times New Roman" w:hAnsi="Times New Roman" w:cs="Times New Roman"/>
                <w:color w:val="000000"/>
                <w:sz w:val="14"/>
              </w:rPr>
            </w:pPr>
            <w:r w:rsidRPr="000E33BF">
              <w:rPr>
                <w:rFonts w:ascii="Times New Roman" w:eastAsia="Times New Roman" w:hAnsi="Times New Roman" w:cs="Times New Roman"/>
                <w:color w:val="000000"/>
                <w:sz w:val="14"/>
              </w:rPr>
              <w:t>Satisfaction 2016</w:t>
            </w:r>
          </w:p>
        </w:tc>
      </w:tr>
      <w:tr w:rsidR="00695D40" w:rsidRPr="000E33BF" w14:paraId="5763A0EF" w14:textId="77777777" w:rsidTr="00162678">
        <w:trPr>
          <w:trHeight w:val="300"/>
        </w:trPr>
        <w:tc>
          <w:tcPr>
            <w:tcW w:w="3014" w:type="dxa"/>
            <w:shd w:val="clear" w:color="auto" w:fill="auto"/>
            <w:noWrap/>
            <w:vAlign w:val="bottom"/>
            <w:hideMark/>
          </w:tcPr>
          <w:p w14:paraId="3C60F61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facilités pour la gestion de la parentalité </w:t>
            </w:r>
          </w:p>
        </w:tc>
        <w:tc>
          <w:tcPr>
            <w:tcW w:w="1330" w:type="dxa"/>
            <w:shd w:val="clear" w:color="auto" w:fill="auto"/>
            <w:noWrap/>
            <w:vAlign w:val="bottom"/>
          </w:tcPr>
          <w:p w14:paraId="6ECE5DC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1440" w:type="dxa"/>
            <w:shd w:val="clear" w:color="auto" w:fill="auto"/>
            <w:noWrap/>
            <w:vAlign w:val="bottom"/>
          </w:tcPr>
          <w:p w14:paraId="7DF13BD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tcPr>
          <w:p w14:paraId="2A91942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2DEC748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34038C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1CE6E2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56B87981" w14:textId="77777777" w:rsidTr="00162678">
        <w:trPr>
          <w:trHeight w:val="300"/>
        </w:trPr>
        <w:tc>
          <w:tcPr>
            <w:tcW w:w="3014" w:type="dxa"/>
            <w:shd w:val="clear" w:color="auto" w:fill="auto"/>
            <w:noWrap/>
            <w:vAlign w:val="bottom"/>
            <w:hideMark/>
          </w:tcPr>
          <w:p w14:paraId="2421CC7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équipements ergonomiques </w:t>
            </w:r>
          </w:p>
        </w:tc>
        <w:tc>
          <w:tcPr>
            <w:tcW w:w="1330" w:type="dxa"/>
            <w:shd w:val="clear" w:color="auto" w:fill="auto"/>
            <w:noWrap/>
            <w:vAlign w:val="bottom"/>
          </w:tcPr>
          <w:p w14:paraId="3FADAA54" w14:textId="77777777" w:rsidR="00695D40" w:rsidRPr="000E33BF" w:rsidRDefault="00695D40" w:rsidP="00695D40">
            <w:pPr>
              <w:pStyle w:val="Paragraphedeliste"/>
              <w:numPr>
                <w:ilvl w:val="0"/>
                <w:numId w:val="8"/>
              </w:numPr>
              <w:spacing w:before="0" w:after="200"/>
              <w:contextualSpacing/>
              <w:jc w:val="center"/>
            </w:pPr>
            <w:r w:rsidRPr="000E33BF">
              <w:t>*</w:t>
            </w:r>
          </w:p>
        </w:tc>
        <w:tc>
          <w:tcPr>
            <w:tcW w:w="1440" w:type="dxa"/>
            <w:shd w:val="clear" w:color="auto" w:fill="auto"/>
            <w:noWrap/>
            <w:vAlign w:val="bottom"/>
          </w:tcPr>
          <w:p w14:paraId="046C1BBB" w14:textId="77777777" w:rsidR="00695D40" w:rsidRPr="000E33BF" w:rsidRDefault="00695D40" w:rsidP="00695D40">
            <w:pPr>
              <w:pStyle w:val="Paragraphedeliste"/>
              <w:numPr>
                <w:ilvl w:val="0"/>
                <w:numId w:val="8"/>
              </w:numPr>
              <w:spacing w:before="0" w:after="200"/>
              <w:contextualSpacing/>
              <w:jc w:val="left"/>
            </w:pPr>
            <w:r w:rsidRPr="000E33BF">
              <w:t>**</w:t>
            </w:r>
          </w:p>
        </w:tc>
        <w:tc>
          <w:tcPr>
            <w:tcW w:w="864" w:type="dxa"/>
            <w:shd w:val="clear" w:color="auto" w:fill="auto"/>
            <w:noWrap/>
          </w:tcPr>
          <w:p w14:paraId="427085C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71C95A5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49BB22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740DF68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0D175FD7" w14:textId="77777777" w:rsidTr="00162678">
        <w:trPr>
          <w:trHeight w:val="300"/>
        </w:trPr>
        <w:tc>
          <w:tcPr>
            <w:tcW w:w="3014" w:type="dxa"/>
            <w:shd w:val="clear" w:color="auto" w:fill="auto"/>
            <w:noWrap/>
            <w:vAlign w:val="bottom"/>
            <w:hideMark/>
          </w:tcPr>
          <w:p w14:paraId="7E1A347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mise en place du travail à distance</w:t>
            </w:r>
          </w:p>
        </w:tc>
        <w:tc>
          <w:tcPr>
            <w:tcW w:w="1330" w:type="dxa"/>
            <w:shd w:val="clear" w:color="auto" w:fill="auto"/>
            <w:noWrap/>
          </w:tcPr>
          <w:p w14:paraId="4E5C651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499F20B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vAlign w:val="bottom"/>
          </w:tcPr>
          <w:p w14:paraId="78B6BB8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1545534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1F99BDC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811C74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4D47F632" w14:textId="77777777" w:rsidTr="00162678">
        <w:trPr>
          <w:trHeight w:val="300"/>
        </w:trPr>
        <w:tc>
          <w:tcPr>
            <w:tcW w:w="3014" w:type="dxa"/>
            <w:shd w:val="clear" w:color="auto" w:fill="auto"/>
            <w:noWrap/>
            <w:vAlign w:val="bottom"/>
            <w:hideMark/>
          </w:tcPr>
          <w:p w14:paraId="54C47B8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mise en place de mesures permettant de veiller au respect des horaires </w:t>
            </w:r>
          </w:p>
        </w:tc>
        <w:tc>
          <w:tcPr>
            <w:tcW w:w="1330" w:type="dxa"/>
            <w:shd w:val="clear" w:color="auto" w:fill="auto"/>
            <w:noWrap/>
          </w:tcPr>
          <w:p w14:paraId="10C4656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5973EFF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tcPr>
          <w:p w14:paraId="4FC8FF9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6D02142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3CCF7C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949BF9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r w:rsidR="00695D40" w:rsidRPr="000E33BF" w14:paraId="6AD6E942" w14:textId="77777777" w:rsidTr="00162678">
        <w:trPr>
          <w:trHeight w:val="300"/>
        </w:trPr>
        <w:tc>
          <w:tcPr>
            <w:tcW w:w="3014" w:type="dxa"/>
            <w:shd w:val="clear" w:color="auto" w:fill="auto"/>
            <w:noWrap/>
            <w:vAlign w:val="bottom"/>
            <w:hideMark/>
          </w:tcPr>
          <w:p w14:paraId="5CBCBD0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équipements technologiques </w:t>
            </w:r>
          </w:p>
        </w:tc>
        <w:tc>
          <w:tcPr>
            <w:tcW w:w="1330" w:type="dxa"/>
            <w:shd w:val="clear" w:color="auto" w:fill="auto"/>
            <w:noWrap/>
          </w:tcPr>
          <w:p w14:paraId="4FAD49E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45F8126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tcPr>
          <w:p w14:paraId="58E604A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0B4E613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8F3C12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1A452CD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6ACBE404" w14:textId="77777777" w:rsidTr="00162678">
        <w:trPr>
          <w:trHeight w:val="300"/>
        </w:trPr>
        <w:tc>
          <w:tcPr>
            <w:tcW w:w="3014" w:type="dxa"/>
            <w:shd w:val="clear" w:color="auto" w:fill="auto"/>
            <w:noWrap/>
            <w:vAlign w:val="bottom"/>
            <w:hideMark/>
          </w:tcPr>
          <w:p w14:paraId="51BF740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actions de prévention des Rps </w:t>
            </w:r>
          </w:p>
        </w:tc>
        <w:tc>
          <w:tcPr>
            <w:tcW w:w="1330" w:type="dxa"/>
            <w:shd w:val="clear" w:color="auto" w:fill="auto"/>
            <w:noWrap/>
          </w:tcPr>
          <w:p w14:paraId="38D3DFE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334272B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vAlign w:val="bottom"/>
          </w:tcPr>
          <w:p w14:paraId="1736EA3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30C3E16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5AAE05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676D651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r w:rsidR="00695D40" w:rsidRPr="000E33BF" w14:paraId="53B7E500" w14:textId="77777777" w:rsidTr="00162678">
        <w:trPr>
          <w:trHeight w:val="300"/>
        </w:trPr>
        <w:tc>
          <w:tcPr>
            <w:tcW w:w="3014" w:type="dxa"/>
            <w:shd w:val="clear" w:color="auto" w:fill="auto"/>
            <w:noWrap/>
            <w:vAlign w:val="bottom"/>
            <w:hideMark/>
          </w:tcPr>
          <w:p w14:paraId="2AF7644A"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Un choix de matériaux favorisant une ambiance agréable</w:t>
            </w:r>
          </w:p>
        </w:tc>
        <w:tc>
          <w:tcPr>
            <w:tcW w:w="1330" w:type="dxa"/>
            <w:shd w:val="clear" w:color="auto" w:fill="auto"/>
            <w:noWrap/>
          </w:tcPr>
          <w:p w14:paraId="6FCF47D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7E04F97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tcPr>
          <w:p w14:paraId="1FE2768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4DEA43C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2F380E1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1481D43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3404A2AA" w14:textId="77777777" w:rsidTr="00162678">
        <w:trPr>
          <w:trHeight w:val="300"/>
        </w:trPr>
        <w:tc>
          <w:tcPr>
            <w:tcW w:w="3014" w:type="dxa"/>
            <w:shd w:val="clear" w:color="auto" w:fill="auto"/>
            <w:noWrap/>
            <w:vAlign w:val="bottom"/>
            <w:hideMark/>
          </w:tcPr>
          <w:p w14:paraId="50D91DB8"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espaces de convivialité </w:t>
            </w:r>
          </w:p>
        </w:tc>
        <w:tc>
          <w:tcPr>
            <w:tcW w:w="1330" w:type="dxa"/>
            <w:shd w:val="clear" w:color="auto" w:fill="auto"/>
            <w:noWrap/>
          </w:tcPr>
          <w:p w14:paraId="34560B3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63F8072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tcPr>
          <w:p w14:paraId="3D365CE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6996AA3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40CBE7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7F3EE2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172510BB" w14:textId="77777777" w:rsidTr="00162678">
        <w:trPr>
          <w:trHeight w:val="300"/>
        </w:trPr>
        <w:tc>
          <w:tcPr>
            <w:tcW w:w="3014" w:type="dxa"/>
            <w:shd w:val="clear" w:color="auto" w:fill="auto"/>
            <w:noWrap/>
            <w:vAlign w:val="bottom"/>
            <w:hideMark/>
          </w:tcPr>
          <w:p w14:paraId="30E132B1"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Des dispositifs de solidarité familiale</w:t>
            </w:r>
          </w:p>
        </w:tc>
        <w:tc>
          <w:tcPr>
            <w:tcW w:w="1330" w:type="dxa"/>
            <w:shd w:val="clear" w:color="auto" w:fill="auto"/>
            <w:noWrap/>
          </w:tcPr>
          <w:p w14:paraId="4A628F7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42266F9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vAlign w:val="bottom"/>
          </w:tcPr>
          <w:p w14:paraId="5792F56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3BDC4CB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D774D4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4DCD6B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52A9CDD7" w14:textId="77777777" w:rsidTr="00162678">
        <w:trPr>
          <w:trHeight w:val="300"/>
        </w:trPr>
        <w:tc>
          <w:tcPr>
            <w:tcW w:w="3014" w:type="dxa"/>
            <w:shd w:val="clear" w:color="auto" w:fill="auto"/>
            <w:noWrap/>
            <w:vAlign w:val="bottom"/>
            <w:hideMark/>
          </w:tcPr>
          <w:p w14:paraId="03FF93E7"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mise en place de solutions promouvant les modes de transports doux</w:t>
            </w:r>
          </w:p>
        </w:tc>
        <w:tc>
          <w:tcPr>
            <w:tcW w:w="1330" w:type="dxa"/>
            <w:shd w:val="clear" w:color="auto" w:fill="auto"/>
            <w:noWrap/>
          </w:tcPr>
          <w:p w14:paraId="7ED9C0B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02C2DE0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vAlign w:val="bottom"/>
          </w:tcPr>
          <w:p w14:paraId="08CBCF1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0DD563F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4E685EF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151145A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36280F6B" w14:textId="77777777" w:rsidTr="00162678">
        <w:trPr>
          <w:trHeight w:val="300"/>
        </w:trPr>
        <w:tc>
          <w:tcPr>
            <w:tcW w:w="3014" w:type="dxa"/>
            <w:shd w:val="clear" w:color="auto" w:fill="auto"/>
            <w:noWrap/>
            <w:vAlign w:val="bottom"/>
            <w:hideMark/>
          </w:tcPr>
          <w:p w14:paraId="574A9775"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La signature d'un accord sur le droit à la déconnexion</w:t>
            </w:r>
          </w:p>
        </w:tc>
        <w:tc>
          <w:tcPr>
            <w:tcW w:w="1330" w:type="dxa"/>
            <w:shd w:val="clear" w:color="auto" w:fill="auto"/>
            <w:noWrap/>
          </w:tcPr>
          <w:p w14:paraId="63A141F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3C6D629F"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tcPr>
          <w:p w14:paraId="4B6D543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3C439AE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899F46C"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154293A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r>
      <w:tr w:rsidR="00695D40" w:rsidRPr="000E33BF" w14:paraId="26BDA9FE" w14:textId="77777777" w:rsidTr="00162678">
        <w:trPr>
          <w:trHeight w:val="300"/>
        </w:trPr>
        <w:tc>
          <w:tcPr>
            <w:tcW w:w="3014" w:type="dxa"/>
            <w:shd w:val="clear" w:color="auto" w:fill="auto"/>
            <w:noWrap/>
            <w:vAlign w:val="bottom"/>
            <w:hideMark/>
          </w:tcPr>
          <w:p w14:paraId="39E43EDC"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Autres mécanismes favorisant l'équilibre des temps de vie</w:t>
            </w:r>
          </w:p>
        </w:tc>
        <w:tc>
          <w:tcPr>
            <w:tcW w:w="1330" w:type="dxa"/>
            <w:shd w:val="clear" w:color="auto" w:fill="auto"/>
            <w:noWrap/>
          </w:tcPr>
          <w:p w14:paraId="044C403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7C490E1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tcPr>
          <w:p w14:paraId="19AF8A5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7E59EAD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A921FE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2DEC1C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384DCA17" w14:textId="77777777" w:rsidTr="00162678">
        <w:trPr>
          <w:trHeight w:val="300"/>
        </w:trPr>
        <w:tc>
          <w:tcPr>
            <w:tcW w:w="3014" w:type="dxa"/>
            <w:shd w:val="clear" w:color="auto" w:fill="auto"/>
            <w:noWrap/>
            <w:vAlign w:val="bottom"/>
            <w:hideMark/>
          </w:tcPr>
          <w:p w14:paraId="552F4AEA"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équipements confortables et modernes </w:t>
            </w:r>
          </w:p>
        </w:tc>
        <w:tc>
          <w:tcPr>
            <w:tcW w:w="1330" w:type="dxa"/>
            <w:shd w:val="clear" w:color="auto" w:fill="auto"/>
            <w:noWrap/>
          </w:tcPr>
          <w:p w14:paraId="1259E47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vAlign w:val="bottom"/>
          </w:tcPr>
          <w:p w14:paraId="1D9DE9C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shd w:val="clear" w:color="auto" w:fill="auto"/>
            <w:noWrap/>
          </w:tcPr>
          <w:p w14:paraId="4E1DE3D0"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tcPr>
          <w:p w14:paraId="6BB973B5"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4498DC1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740496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32F72A6F" w14:textId="77777777" w:rsidTr="00162678">
        <w:trPr>
          <w:trHeight w:val="300"/>
        </w:trPr>
        <w:tc>
          <w:tcPr>
            <w:tcW w:w="3014" w:type="dxa"/>
            <w:shd w:val="clear" w:color="auto" w:fill="auto"/>
            <w:noWrap/>
            <w:vAlign w:val="bottom"/>
            <w:hideMark/>
          </w:tcPr>
          <w:p w14:paraId="1B4EB8FD"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aménagements intérieurs modulaires et ouverts </w:t>
            </w:r>
          </w:p>
        </w:tc>
        <w:tc>
          <w:tcPr>
            <w:tcW w:w="1330" w:type="dxa"/>
            <w:shd w:val="clear" w:color="auto" w:fill="auto"/>
            <w:noWrap/>
          </w:tcPr>
          <w:p w14:paraId="361B733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561FCC63"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vAlign w:val="bottom"/>
          </w:tcPr>
          <w:p w14:paraId="1CF0CFC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5D5FC8A7"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3EA193D2"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57B0C15E"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7BF12E15" w14:textId="77777777" w:rsidTr="00162678">
        <w:trPr>
          <w:trHeight w:val="300"/>
        </w:trPr>
        <w:tc>
          <w:tcPr>
            <w:tcW w:w="3014" w:type="dxa"/>
            <w:shd w:val="clear" w:color="auto" w:fill="auto"/>
            <w:noWrap/>
            <w:vAlign w:val="bottom"/>
            <w:hideMark/>
          </w:tcPr>
          <w:p w14:paraId="4F23C4C2"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Des services proposés en interne </w:t>
            </w:r>
          </w:p>
        </w:tc>
        <w:tc>
          <w:tcPr>
            <w:tcW w:w="1330" w:type="dxa"/>
            <w:shd w:val="clear" w:color="auto" w:fill="auto"/>
            <w:noWrap/>
          </w:tcPr>
          <w:p w14:paraId="2A40178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tcPr>
          <w:p w14:paraId="77D4443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64" w:type="dxa"/>
            <w:shd w:val="clear" w:color="auto" w:fill="auto"/>
            <w:noWrap/>
            <w:vAlign w:val="bottom"/>
          </w:tcPr>
          <w:p w14:paraId="254A5444"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2F8F7D76"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2ECCD9A8"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3C6C7F1"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r w:rsidR="00695D40" w:rsidRPr="000E33BF" w14:paraId="1AB1A52B" w14:textId="77777777" w:rsidTr="00162678">
        <w:trPr>
          <w:trHeight w:val="300"/>
        </w:trPr>
        <w:tc>
          <w:tcPr>
            <w:tcW w:w="3014" w:type="dxa"/>
            <w:shd w:val="clear" w:color="auto" w:fill="auto"/>
            <w:noWrap/>
            <w:vAlign w:val="bottom"/>
            <w:hideMark/>
          </w:tcPr>
          <w:p w14:paraId="6E81CB0B" w14:textId="77777777" w:rsidR="00695D40" w:rsidRPr="000E33BF" w:rsidRDefault="00695D40" w:rsidP="00162678">
            <w:pPr>
              <w:rPr>
                <w:rFonts w:ascii="Times New Roman" w:eastAsia="Times New Roman" w:hAnsi="Times New Roman" w:cs="Times New Roman"/>
                <w:color w:val="000000"/>
              </w:rPr>
            </w:pPr>
            <w:r w:rsidRPr="000E33BF">
              <w:rPr>
                <w:rFonts w:ascii="Times New Roman" w:eastAsia="Times New Roman" w:hAnsi="Times New Roman" w:cs="Times New Roman"/>
                <w:color w:val="000000"/>
              </w:rPr>
              <w:t xml:space="preserve">La mise en place d'espaces dédiés au collectif </w:t>
            </w:r>
          </w:p>
        </w:tc>
        <w:tc>
          <w:tcPr>
            <w:tcW w:w="1330" w:type="dxa"/>
            <w:shd w:val="clear" w:color="auto" w:fill="auto"/>
            <w:noWrap/>
          </w:tcPr>
          <w:p w14:paraId="0457691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1440" w:type="dxa"/>
            <w:shd w:val="clear" w:color="auto" w:fill="auto"/>
            <w:noWrap/>
            <w:vAlign w:val="bottom"/>
          </w:tcPr>
          <w:p w14:paraId="2867A08D"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shd w:val="clear" w:color="auto" w:fill="auto"/>
            <w:noWrap/>
            <w:vAlign w:val="bottom"/>
          </w:tcPr>
          <w:p w14:paraId="2A870B1B"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64" w:type="dxa"/>
          </w:tcPr>
          <w:p w14:paraId="19C1C209"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 *</w:t>
            </w:r>
          </w:p>
        </w:tc>
        <w:tc>
          <w:tcPr>
            <w:tcW w:w="801" w:type="dxa"/>
          </w:tcPr>
          <w:p w14:paraId="393D81B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c>
          <w:tcPr>
            <w:tcW w:w="801" w:type="dxa"/>
          </w:tcPr>
          <w:p w14:paraId="07A687BA" w14:textId="77777777" w:rsidR="00695D40" w:rsidRPr="000E33BF" w:rsidRDefault="00695D40" w:rsidP="00162678">
            <w:pPr>
              <w:jc w:val="center"/>
              <w:rPr>
                <w:rFonts w:ascii="Times New Roman" w:eastAsia="Times New Roman" w:hAnsi="Times New Roman" w:cs="Times New Roman"/>
                <w:color w:val="000000"/>
              </w:rPr>
            </w:pPr>
            <w:r w:rsidRPr="000E33BF">
              <w:rPr>
                <w:rFonts w:ascii="Times New Roman" w:eastAsia="Times New Roman" w:hAnsi="Times New Roman" w:cs="Times New Roman"/>
                <w:color w:val="000000"/>
              </w:rPr>
              <w:t>n.s.</w:t>
            </w:r>
          </w:p>
        </w:tc>
      </w:tr>
    </w:tbl>
    <w:p w14:paraId="2C1A17BF" w14:textId="77777777" w:rsidR="00695D40" w:rsidRPr="000E33BF" w:rsidRDefault="00695D40" w:rsidP="00695D40">
      <w:pPr>
        <w:jc w:val="both"/>
        <w:rPr>
          <w:rFonts w:ascii="Times New Roman" w:eastAsia="Times New Roman" w:hAnsi="Times New Roman" w:cs="Times New Roman"/>
        </w:rPr>
      </w:pPr>
    </w:p>
    <w:p w14:paraId="000DCBEA" w14:textId="4BF9AD3A"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lastRenderedPageBreak/>
        <w:t xml:space="preserve">Le constat est ici avant tout </w:t>
      </w:r>
      <w:r w:rsidR="00F4635C">
        <w:rPr>
          <w:rFonts w:ascii="Times New Roman" w:eastAsia="Times New Roman" w:hAnsi="Times New Roman" w:cs="Times New Roman"/>
        </w:rPr>
        <w:t>d’observer</w:t>
      </w:r>
      <w:r w:rsidRPr="000E33BF">
        <w:rPr>
          <w:rFonts w:ascii="Times New Roman" w:eastAsia="Times New Roman" w:hAnsi="Times New Roman" w:cs="Times New Roman"/>
        </w:rPr>
        <w:t xml:space="preserve"> que des résultats mauvais en termes d’absentéisme en 2013 ont conduit à mettre en place un ensemble d’action visant l’amélioration du confort des salariés (travail à distance, prévention RPS, mécanismes de solidarité familiale, modes de transports doux, aménagement intérieurs, services internes, espaces dédiés au collectif). Cet effort, en revanche n’a pas porté ses fruits puisqu’aucun n’est associé avec une amélioration de l’absentéisme.</w:t>
      </w:r>
    </w:p>
    <w:p w14:paraId="2C547519" w14:textId="77777777" w:rsidR="00695D40" w:rsidRPr="000E33BF" w:rsidRDefault="00695D40" w:rsidP="00B91402">
      <w:pPr>
        <w:spacing w:line="276" w:lineRule="auto"/>
        <w:jc w:val="both"/>
        <w:rPr>
          <w:rFonts w:ascii="Times New Roman" w:eastAsia="Times New Roman" w:hAnsi="Times New Roman" w:cs="Times New Roman"/>
        </w:rPr>
      </w:pPr>
    </w:p>
    <w:p w14:paraId="3F1D168D" w14:textId="77777777"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t>Il semble donc que si globalement il n’existe pas de lien général entre les indicateurs objectifs et subjectifs de climat social et la mise en place de pratiques, on retrouve des régularités particulières qui montrent l’existence d’un lien entre certaines pratiques et l’état du climat social de ces organisations.</w:t>
      </w:r>
    </w:p>
    <w:p w14:paraId="59F6F7DD" w14:textId="77777777" w:rsidR="00695D40" w:rsidRPr="000E33BF" w:rsidRDefault="00695D40" w:rsidP="00B91402">
      <w:pPr>
        <w:spacing w:line="276" w:lineRule="auto"/>
        <w:jc w:val="both"/>
        <w:rPr>
          <w:rFonts w:ascii="Times New Roman" w:eastAsia="Times New Roman" w:hAnsi="Times New Roman" w:cs="Times New Roman"/>
        </w:rPr>
      </w:pPr>
    </w:p>
    <w:p w14:paraId="728FAE8D" w14:textId="77777777" w:rsidR="00695D40" w:rsidRPr="000E33BF" w:rsidRDefault="00695D40" w:rsidP="00B91402">
      <w:pPr>
        <w:spacing w:line="276" w:lineRule="auto"/>
        <w:jc w:val="both"/>
        <w:rPr>
          <w:rFonts w:ascii="Times New Roman" w:eastAsia="Times New Roman" w:hAnsi="Times New Roman" w:cs="Times New Roman"/>
        </w:rPr>
      </w:pPr>
      <w:r w:rsidRPr="000E33BF">
        <w:rPr>
          <w:rFonts w:ascii="Times New Roman" w:eastAsia="Times New Roman" w:hAnsi="Times New Roman" w:cs="Times New Roman"/>
        </w:rPr>
        <w:t>Si l’on reprend notre modèle de départ, il convient de constater que sur les 52 pratiques identifiées à la QVT par les répondants de cette enquête, seulement cinq sont associées à une réduction de l’absentéisme et cinq autres à une amélioration des indicateurs subjectifs de climat social. Si le constat d’un niveau d’absentéisme élevé peut conduire à mettre en œuvre certaines pratiques, celles-ci ne sont pas associées à une amélioration de cet indicateur. Il en est de même pour la satisfaction des salariés.</w:t>
      </w:r>
    </w:p>
    <w:p w14:paraId="50471B88" w14:textId="44776BED" w:rsidR="0027107C" w:rsidRPr="000E33BF" w:rsidRDefault="0027107C" w:rsidP="00B91402">
      <w:pPr>
        <w:pStyle w:val="Titre2"/>
        <w:spacing w:line="276" w:lineRule="auto"/>
      </w:pPr>
      <w:r w:rsidRPr="000E33BF">
        <w:t>Discussion</w:t>
      </w:r>
      <w:r w:rsidR="00F4635C">
        <w:t xml:space="preserve"> conclusion</w:t>
      </w:r>
    </w:p>
    <w:p w14:paraId="52F80C44" w14:textId="50A8D46B"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Les résultats de cette recherche demandent à être discutés par rapport à la littérature sur la QVT et aux regards des pratiques de QVT dans les organisations publiques ou privées. </w:t>
      </w:r>
      <w:r w:rsidR="00F4635C">
        <w:rPr>
          <w:rFonts w:ascii="Times New Roman" w:eastAsia="Times New Roman" w:hAnsi="Times New Roman" w:cs="Times New Roman"/>
          <w:color w:val="000000"/>
          <w:lang w:eastAsia="fr-FR"/>
        </w:rPr>
        <w:t>T</w:t>
      </w:r>
      <w:r w:rsidRPr="000E33BF">
        <w:rPr>
          <w:rFonts w:ascii="Times New Roman" w:eastAsia="Times New Roman" w:hAnsi="Times New Roman" w:cs="Times New Roman"/>
          <w:color w:val="000000"/>
          <w:lang w:eastAsia="fr-FR"/>
        </w:rPr>
        <w:t xml:space="preserve">rois pistes de réflexions découlent de nos résultats. D’abord comment expliquer la faiblesse du lien entre les pratiques de GRH liées à la QVT et les indicateurs sociaux ? Ensuite, lorsque ce lien est avéré, il nous faut mieux comprendre le sens que lui donne les acteurs et en tirer les implications RH et managériales. Enfin, quelles sont les implications de </w:t>
      </w:r>
      <w:r w:rsidR="00F4635C">
        <w:rPr>
          <w:rFonts w:ascii="Times New Roman" w:eastAsia="Times New Roman" w:hAnsi="Times New Roman" w:cs="Times New Roman"/>
          <w:color w:val="000000"/>
          <w:lang w:eastAsia="fr-FR"/>
        </w:rPr>
        <w:t>cett</w:t>
      </w:r>
      <w:r w:rsidRPr="000E33BF">
        <w:rPr>
          <w:rFonts w:ascii="Times New Roman" w:eastAsia="Times New Roman" w:hAnsi="Times New Roman" w:cs="Times New Roman"/>
          <w:color w:val="000000"/>
          <w:lang w:eastAsia="fr-FR"/>
        </w:rPr>
        <w:t xml:space="preserve">e recherche sur la mise en </w:t>
      </w:r>
      <w:r w:rsidR="0097630A" w:rsidRPr="000E33BF">
        <w:rPr>
          <w:rFonts w:ascii="Times New Roman" w:eastAsia="Times New Roman" w:hAnsi="Times New Roman" w:cs="Times New Roman"/>
          <w:color w:val="000000"/>
          <w:lang w:eastAsia="fr-FR"/>
        </w:rPr>
        <w:t>œuvre</w:t>
      </w:r>
      <w:r w:rsidRPr="000E33BF">
        <w:rPr>
          <w:rFonts w:ascii="Times New Roman" w:eastAsia="Times New Roman" w:hAnsi="Times New Roman" w:cs="Times New Roman"/>
          <w:color w:val="000000"/>
          <w:lang w:eastAsia="fr-FR"/>
        </w:rPr>
        <w:t xml:space="preserve"> et l’appropriation des pratiques de QVT par les acteurs RH et l’encadrement ?</w:t>
      </w:r>
    </w:p>
    <w:p w14:paraId="5381D115" w14:textId="1684F2A8" w:rsidR="001124F6" w:rsidRPr="001124F6" w:rsidRDefault="0027107C" w:rsidP="00B91402">
      <w:pPr>
        <w:spacing w:before="120" w:line="276" w:lineRule="auto"/>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 xml:space="preserve">Le faible lien entre les pratiques de GRH liées à la QVT et les indicateurs sociaux peut s’expliquer du fait du caractère </w:t>
      </w:r>
      <w:r w:rsidR="00F4635C">
        <w:rPr>
          <w:rFonts w:ascii="Times New Roman" w:eastAsia="Times New Roman" w:hAnsi="Times New Roman" w:cs="Times New Roman"/>
          <w:color w:val="000000"/>
          <w:lang w:eastAsia="fr-FR"/>
        </w:rPr>
        <w:t>multi</w:t>
      </w:r>
      <w:r w:rsidRPr="000E33BF">
        <w:rPr>
          <w:rFonts w:ascii="Times New Roman" w:eastAsia="Times New Roman" w:hAnsi="Times New Roman" w:cs="Times New Roman"/>
          <w:color w:val="000000"/>
          <w:lang w:eastAsia="fr-FR"/>
        </w:rPr>
        <w:t xml:space="preserve">factoriel du climat social dont les causes ne sont pas réductibles à la mise en </w:t>
      </w:r>
      <w:r w:rsidR="00D80C11" w:rsidRPr="000E33BF">
        <w:rPr>
          <w:rFonts w:ascii="Times New Roman" w:eastAsia="Times New Roman" w:hAnsi="Times New Roman" w:cs="Times New Roman"/>
          <w:color w:val="000000"/>
          <w:lang w:eastAsia="fr-FR"/>
        </w:rPr>
        <w:t>œuvre</w:t>
      </w:r>
      <w:r w:rsidRPr="000E33BF">
        <w:rPr>
          <w:rFonts w:ascii="Times New Roman" w:eastAsia="Times New Roman" w:hAnsi="Times New Roman" w:cs="Times New Roman"/>
          <w:color w:val="000000"/>
          <w:lang w:eastAsia="fr-FR"/>
        </w:rPr>
        <w:t xml:space="preserve"> de telle ou telle pratique de QVT. La faiblesse de la corrélation entre la mise en </w:t>
      </w:r>
      <w:r w:rsidR="00D80C11" w:rsidRPr="000E33BF">
        <w:rPr>
          <w:rFonts w:ascii="Times New Roman" w:eastAsia="Times New Roman" w:hAnsi="Times New Roman" w:cs="Times New Roman"/>
          <w:color w:val="000000"/>
          <w:lang w:eastAsia="fr-FR"/>
        </w:rPr>
        <w:t>œuvre</w:t>
      </w:r>
      <w:r w:rsidRPr="000E33BF">
        <w:rPr>
          <w:rFonts w:ascii="Times New Roman" w:eastAsia="Times New Roman" w:hAnsi="Times New Roman" w:cs="Times New Roman"/>
          <w:color w:val="000000"/>
          <w:lang w:eastAsia="fr-FR"/>
        </w:rPr>
        <w:t xml:space="preserve"> d’outils de gestion et le bien-être au travail a déjà été montré récemment par une enquête auprès de 222 jeunes cadres du Ministère de la transition écologique et solid</w:t>
      </w:r>
      <w:r w:rsidR="000A019D" w:rsidRPr="000E33BF">
        <w:rPr>
          <w:rFonts w:ascii="Times New Roman" w:eastAsia="Times New Roman" w:hAnsi="Times New Roman" w:cs="Times New Roman"/>
          <w:color w:val="000000"/>
          <w:lang w:eastAsia="fr-FR"/>
        </w:rPr>
        <w:t>aire (Bardet et al., 2019). Ce « lien faible »</w:t>
      </w:r>
      <w:r w:rsidRPr="000E33BF">
        <w:rPr>
          <w:rFonts w:ascii="Times New Roman" w:eastAsia="Times New Roman" w:hAnsi="Times New Roman" w:cs="Times New Roman"/>
          <w:color w:val="000000"/>
          <w:lang w:eastAsia="fr-FR"/>
        </w:rPr>
        <w:t xml:space="preserve"> entre les pratiques et les outils utilisés d’une part et les résultats en termes de QVT d’autre part ouvre une avenue de recherche, notamment pour des approches qualitatives et longitudinales qui étudient la manière </w:t>
      </w:r>
      <w:r w:rsidR="00F4635C">
        <w:rPr>
          <w:rFonts w:ascii="Times New Roman" w:eastAsia="Times New Roman" w:hAnsi="Times New Roman" w:cs="Times New Roman"/>
          <w:color w:val="000000"/>
          <w:lang w:eastAsia="fr-FR"/>
        </w:rPr>
        <w:t>dont les acteurs s’approprient c</w:t>
      </w:r>
      <w:r w:rsidRPr="000E33BF">
        <w:rPr>
          <w:rFonts w:ascii="Times New Roman" w:eastAsia="Times New Roman" w:hAnsi="Times New Roman" w:cs="Times New Roman"/>
          <w:color w:val="000000"/>
          <w:lang w:eastAsia="fr-FR"/>
        </w:rPr>
        <w:t>es pratiques.</w:t>
      </w:r>
    </w:p>
    <w:p w14:paraId="1B934664" w14:textId="5F4C8B32" w:rsidR="0027107C" w:rsidRDefault="001124F6" w:rsidP="00B91402">
      <w:pPr>
        <w:spacing w:before="120" w:line="276"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La QVT se révèle comme « objet RH » plus identifié que ne peut l’être le bien-être. </w:t>
      </w:r>
      <w:r w:rsidR="00C91B47" w:rsidRPr="000E33BF">
        <w:rPr>
          <w:rFonts w:ascii="Times New Roman" w:eastAsia="Times New Roman" w:hAnsi="Times New Roman" w:cs="Times New Roman"/>
          <w:color w:val="000000"/>
          <w:lang w:eastAsia="fr-FR"/>
        </w:rPr>
        <w:t>Au-delà</w:t>
      </w:r>
      <w:r w:rsidR="0027107C" w:rsidRPr="000E33BF">
        <w:rPr>
          <w:rFonts w:ascii="Times New Roman" w:eastAsia="Times New Roman" w:hAnsi="Times New Roman" w:cs="Times New Roman"/>
          <w:color w:val="000000"/>
          <w:lang w:eastAsia="fr-FR"/>
        </w:rPr>
        <w:t xml:space="preserve"> de la faiblesse du lien entre les pratiques liées à la QVT et le niveau de bien-être, certains chercheurs interroge</w:t>
      </w:r>
      <w:r w:rsidR="00C91B47" w:rsidRPr="000E33BF">
        <w:rPr>
          <w:rFonts w:ascii="Times New Roman" w:eastAsia="Times New Roman" w:hAnsi="Times New Roman" w:cs="Times New Roman"/>
          <w:color w:val="000000"/>
          <w:lang w:eastAsia="fr-FR"/>
        </w:rPr>
        <w:t>nt</w:t>
      </w:r>
      <w:r w:rsidR="0027107C" w:rsidRPr="000E33BF">
        <w:rPr>
          <w:rFonts w:ascii="Times New Roman" w:eastAsia="Times New Roman" w:hAnsi="Times New Roman" w:cs="Times New Roman"/>
          <w:color w:val="000000"/>
          <w:lang w:eastAsia="fr-FR"/>
        </w:rPr>
        <w:t xml:space="preserve"> le sens du lien. Baron (2011) fait de la performance du travail du salarié, une cause de son bien-être. Il s’appuie explicitement dans sa démonstration sur les trava</w:t>
      </w:r>
      <w:r w:rsidR="000A019D" w:rsidRPr="000E33BF">
        <w:rPr>
          <w:rFonts w:ascii="Times New Roman" w:eastAsia="Times New Roman" w:hAnsi="Times New Roman" w:cs="Times New Roman"/>
          <w:color w:val="000000"/>
          <w:lang w:eastAsia="fr-FR"/>
        </w:rPr>
        <w:t>ux d’Yves Clot (2010) pour qu</w:t>
      </w:r>
      <w:r w:rsidR="00DD7899" w:rsidRPr="000E33BF">
        <w:rPr>
          <w:rFonts w:ascii="Times New Roman" w:eastAsia="Times New Roman" w:hAnsi="Times New Roman" w:cs="Times New Roman"/>
          <w:color w:val="000000"/>
          <w:lang w:eastAsia="fr-FR"/>
        </w:rPr>
        <w:t>i</w:t>
      </w:r>
      <w:r w:rsidR="000A019D" w:rsidRPr="000E33BF">
        <w:rPr>
          <w:rFonts w:ascii="Times New Roman" w:eastAsia="Times New Roman" w:hAnsi="Times New Roman" w:cs="Times New Roman"/>
          <w:color w:val="000000"/>
          <w:lang w:eastAsia="fr-FR"/>
        </w:rPr>
        <w:t> « </w:t>
      </w:r>
      <w:r w:rsidR="0027107C" w:rsidRPr="000E33BF">
        <w:rPr>
          <w:rFonts w:ascii="Times New Roman" w:eastAsia="Times New Roman" w:hAnsi="Times New Roman" w:cs="Times New Roman"/>
          <w:color w:val="000000"/>
          <w:lang w:eastAsia="fr-FR"/>
        </w:rPr>
        <w:t xml:space="preserve">il n’y a pas de qualité de vie au </w:t>
      </w:r>
      <w:r w:rsidR="000A019D" w:rsidRPr="000E33BF">
        <w:rPr>
          <w:rFonts w:ascii="Times New Roman" w:eastAsia="Times New Roman" w:hAnsi="Times New Roman" w:cs="Times New Roman"/>
          <w:color w:val="000000"/>
          <w:lang w:eastAsia="fr-FR"/>
        </w:rPr>
        <w:t>travail sans travail de qualité »</w:t>
      </w:r>
      <w:r w:rsidR="0027107C" w:rsidRPr="000E33BF">
        <w:rPr>
          <w:rFonts w:ascii="Times New Roman" w:eastAsia="Times New Roman" w:hAnsi="Times New Roman" w:cs="Times New Roman"/>
          <w:color w:val="000000"/>
          <w:lang w:eastAsia="fr-FR"/>
        </w:rPr>
        <w:t xml:space="preserve"> ou encore sur les travaux plus anciens des sociologues Christian Baudelot et Michel </w:t>
      </w:r>
      <w:r w:rsidR="0027107C" w:rsidRPr="000E33BF">
        <w:rPr>
          <w:rFonts w:ascii="Times New Roman" w:eastAsia="Times New Roman" w:hAnsi="Times New Roman" w:cs="Times New Roman"/>
          <w:color w:val="000000"/>
          <w:lang w:eastAsia="fr-FR"/>
        </w:rPr>
        <w:lastRenderedPageBreak/>
        <w:t>Gollac (2002). La QVT pourrait ainsi être vue comme un élément de rétribution non financier d’un travailleur qui l’exige de plus en plus (Dalmas, 2016) et également comme un facteur clé pour construire une marque e</w:t>
      </w:r>
      <w:r w:rsidR="000A019D" w:rsidRPr="000E33BF">
        <w:rPr>
          <w:rFonts w:ascii="Times New Roman" w:eastAsia="Times New Roman" w:hAnsi="Times New Roman" w:cs="Times New Roman"/>
          <w:color w:val="000000"/>
          <w:lang w:eastAsia="fr-FR"/>
        </w:rPr>
        <w:t>mployeur capable d’attirer et</w:t>
      </w:r>
      <w:r w:rsidR="0027107C" w:rsidRPr="000E33BF">
        <w:rPr>
          <w:rFonts w:ascii="Times New Roman" w:eastAsia="Times New Roman" w:hAnsi="Times New Roman" w:cs="Times New Roman"/>
          <w:color w:val="000000"/>
          <w:lang w:eastAsia="fr-FR"/>
        </w:rPr>
        <w:t xml:space="preserve"> retenir les talents</w:t>
      </w:r>
      <w:r w:rsidR="00F4635C">
        <w:rPr>
          <w:rFonts w:ascii="Times New Roman" w:eastAsia="Times New Roman" w:hAnsi="Times New Roman" w:cs="Times New Roman"/>
          <w:color w:val="000000"/>
          <w:lang w:eastAsia="fr-FR"/>
        </w:rPr>
        <w:t>.</w:t>
      </w:r>
    </w:p>
    <w:p w14:paraId="175041B1" w14:textId="0BBCBA00" w:rsidR="001124F6" w:rsidRPr="000E33BF" w:rsidRDefault="001124F6" w:rsidP="001124F6">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Le concept de QVT, dans sa richesse et son caractère multidimensionnel, apparaît</w:t>
      </w:r>
      <w:r w:rsidR="00AC4A7A">
        <w:rPr>
          <w:rFonts w:ascii="Times New Roman" w:eastAsia="Times New Roman" w:hAnsi="Times New Roman" w:cs="Times New Roman"/>
          <w:color w:val="000000"/>
          <w:lang w:eastAsia="fr-FR"/>
        </w:rPr>
        <w:t xml:space="preserve"> alors</w:t>
      </w:r>
      <w:r>
        <w:rPr>
          <w:rFonts w:ascii="Times New Roman" w:eastAsia="Times New Roman" w:hAnsi="Times New Roman" w:cs="Times New Roman"/>
          <w:color w:val="000000"/>
          <w:lang w:eastAsia="fr-FR"/>
        </w:rPr>
        <w:t xml:space="preserve"> bien plus</w:t>
      </w:r>
      <w:r w:rsidRPr="000E33BF">
        <w:rPr>
          <w:rFonts w:ascii="Times New Roman" w:eastAsia="Times New Roman" w:hAnsi="Times New Roman" w:cs="Times New Roman"/>
          <w:color w:val="000000"/>
          <w:lang w:eastAsia="fr-FR"/>
        </w:rPr>
        <w:t xml:space="preserve"> comme un « levier pour refonder les organisations du travail » (Bourdu, Péretier &amp; Richer, 2016) dont le bien-être serait une sous-dimension, même si, lui aussi, est loin de faire l’unanimité dans la littérature académique.</w:t>
      </w:r>
      <w:r>
        <w:rPr>
          <w:rFonts w:ascii="Times New Roman" w:eastAsia="Times New Roman" w:hAnsi="Times New Roman" w:cs="Times New Roman"/>
          <w:color w:val="000000"/>
          <w:lang w:eastAsia="fr-FR"/>
        </w:rPr>
        <w:t xml:space="preserve"> </w:t>
      </w:r>
      <w:r w:rsidRPr="001124F6">
        <w:rPr>
          <w:rFonts w:ascii="Times New Roman" w:eastAsia="Times New Roman" w:hAnsi="Times New Roman" w:cs="Times New Roman"/>
          <w:color w:val="000000"/>
          <w:lang w:eastAsia="fr-FR"/>
        </w:rPr>
        <w:t>Nous proposon</w:t>
      </w:r>
      <w:r w:rsidR="00AC4A7A">
        <w:rPr>
          <w:rFonts w:ascii="Times New Roman" w:eastAsia="Times New Roman" w:hAnsi="Times New Roman" w:cs="Times New Roman"/>
          <w:color w:val="000000"/>
          <w:lang w:eastAsia="fr-FR"/>
        </w:rPr>
        <w:t>s de définir la QVT comme un « </w:t>
      </w:r>
      <w:r>
        <w:rPr>
          <w:rFonts w:ascii="Times New Roman" w:eastAsia="Times New Roman" w:hAnsi="Times New Roman" w:cs="Times New Roman"/>
          <w:color w:val="000000"/>
          <w:lang w:eastAsia="fr-FR"/>
        </w:rPr>
        <w:t>é</w:t>
      </w:r>
      <w:r w:rsidRPr="001124F6">
        <w:rPr>
          <w:rFonts w:ascii="Times New Roman" w:eastAsia="Times New Roman" w:hAnsi="Times New Roman" w:cs="Times New Roman"/>
          <w:color w:val="000000"/>
          <w:lang w:eastAsia="fr-FR"/>
        </w:rPr>
        <w:t>tat des conditions du travail qui permet de réaliser l’activité de la manière la plus équilibrée et la mieux adaptée pour l’individu et l’organisation. »</w:t>
      </w:r>
    </w:p>
    <w:p w14:paraId="7C001C4D" w14:textId="6AFBB84E" w:rsidR="0027107C" w:rsidRPr="000E33BF" w:rsidRDefault="0027107C" w:rsidP="00B91402">
      <w:pPr>
        <w:spacing w:before="120" w:line="276" w:lineRule="auto"/>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Ce travail a plusieurs implications managériales. Premièrement, la mise en </w:t>
      </w:r>
      <w:r w:rsidR="00C91B47" w:rsidRPr="000E33BF">
        <w:rPr>
          <w:rFonts w:ascii="Times New Roman" w:eastAsia="Times New Roman" w:hAnsi="Times New Roman" w:cs="Times New Roman"/>
          <w:color w:val="000000"/>
          <w:lang w:eastAsia="fr-FR"/>
        </w:rPr>
        <w:t>œuvre</w:t>
      </w:r>
      <w:r w:rsidRPr="000E33BF">
        <w:rPr>
          <w:rFonts w:ascii="Times New Roman" w:eastAsia="Times New Roman" w:hAnsi="Times New Roman" w:cs="Times New Roman"/>
          <w:color w:val="000000"/>
          <w:lang w:eastAsia="fr-FR"/>
        </w:rPr>
        <w:t xml:space="preserve"> de pratiques de QVT sans intégration à un projet global relève plus du pari que de la décision stratégique raisonnée. Si les pratiques de QVT sont d’une grande diversité (liées au sens du travail, au lien, à l’activité ou au confort), elles semblent apporter du progrès dans la mesure où leur mise en </w:t>
      </w:r>
      <w:r w:rsidR="00BD135D" w:rsidRPr="000E33BF">
        <w:rPr>
          <w:rFonts w:ascii="Times New Roman" w:eastAsia="Times New Roman" w:hAnsi="Times New Roman" w:cs="Times New Roman"/>
          <w:color w:val="000000"/>
          <w:lang w:eastAsia="fr-FR"/>
        </w:rPr>
        <w:t>œuvre</w:t>
      </w:r>
      <w:r w:rsidRPr="000E33BF">
        <w:rPr>
          <w:rFonts w:ascii="Times New Roman" w:eastAsia="Times New Roman" w:hAnsi="Times New Roman" w:cs="Times New Roman"/>
          <w:color w:val="000000"/>
          <w:lang w:eastAsia="fr-FR"/>
        </w:rPr>
        <w:t xml:space="preserve"> est collective et repose sur un dialogue social approfondi (Bailly, 2016). Deuxièmement, cette recherche invite les DRH à faire un travail d’identification et de mise en évidence/cohérence des différentes pratiques RH qui ne sont pas forcément identifiées a priori comme associée à la QVT (par ex. la conduite de projets liés à</w:t>
      </w:r>
      <w:r w:rsidR="000A019D" w:rsidRPr="000E33BF">
        <w:rPr>
          <w:rFonts w:ascii="Times New Roman" w:eastAsia="Times New Roman" w:hAnsi="Times New Roman" w:cs="Times New Roman"/>
          <w:color w:val="000000"/>
          <w:lang w:eastAsia="fr-FR"/>
        </w:rPr>
        <w:t xml:space="preserve"> la RSE</w:t>
      </w:r>
      <w:r w:rsidRPr="000E33BF">
        <w:rPr>
          <w:rFonts w:ascii="Times New Roman" w:eastAsia="Times New Roman" w:hAnsi="Times New Roman" w:cs="Times New Roman"/>
          <w:color w:val="000000"/>
          <w:lang w:eastAsia="fr-FR"/>
        </w:rPr>
        <w:t>-Responsabilité Sociale de l’Entreprise ou des actions visant au développement d’espaces de discussion liés à la qualité du travail réel). Il semble bénéfique à l’organisation de conduire cet inventaire des pratiques liés à la QVT de manière aussi large que possible, c’est-à-dire impliquant les membres de la direction, les préventeurs, les IRP, les services de santé au travail, certains membres de l’encadrement de proximité etc. Ce travail collectif permet de rendre les pratiques lisibles et de les inscrire dans une stratégie globale pour une performance économique et sociale de l’organisation. Troisièmement, si cette recherche souligne la fragilité du lien entre pratiques et résultats en termes de bien-être, elle veut aussi insister sur l’importance de la dimension collective de la QVT qui ne peut être réduite à un bien-être subjectif individuel mais inclut aussi des composantes plus objectives liées à la charge de travail et à son organisation. De manière pragmatique et utilitariste pour l’organisation, nous défendons l’idée que les pratiques de QVT constituent un bon levier de développement de l’organisation en mettant en place des dynamiques d’apprentissage organisationnel et de mise en avant de son image (marque employeur) auprès des parties prenantes.</w:t>
      </w:r>
    </w:p>
    <w:p w14:paraId="6D1EC3F3" w14:textId="55DA8B4F" w:rsidR="0027107C" w:rsidRPr="000E33BF" w:rsidRDefault="0027107C" w:rsidP="00DC1997">
      <w:pPr>
        <w:spacing w:before="120"/>
        <w:rPr>
          <w:rFonts w:ascii="Times New Roman" w:eastAsia="Times New Roman" w:hAnsi="Times New Roman" w:cs="Times New Roman"/>
          <w:lang w:eastAsia="fr-FR"/>
        </w:rPr>
      </w:pPr>
    </w:p>
    <w:p w14:paraId="3126866E" w14:textId="602C6E03" w:rsidR="0027107C" w:rsidRPr="000E33BF" w:rsidRDefault="0027107C" w:rsidP="007D330B">
      <w:pPr>
        <w:pStyle w:val="Titre2"/>
        <w:rPr>
          <w:lang w:val="en-US"/>
        </w:rPr>
      </w:pPr>
      <w:r w:rsidRPr="000E33BF">
        <w:rPr>
          <w:lang w:val="en-US"/>
        </w:rPr>
        <w:t>Références</w:t>
      </w:r>
      <w:r w:rsidR="00607668" w:rsidRPr="000E33BF">
        <w:rPr>
          <w:lang w:val="en-US"/>
        </w:rPr>
        <w:t xml:space="preserve"> bibliographiques</w:t>
      </w:r>
    </w:p>
    <w:p w14:paraId="2DFFFABC"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Ahmad, S. (2013). Paradigms of quality of work life. </w:t>
      </w:r>
      <w:r w:rsidRPr="000E33BF">
        <w:rPr>
          <w:rFonts w:ascii="Times New Roman" w:eastAsia="Times New Roman" w:hAnsi="Times New Roman" w:cs="Times New Roman"/>
          <w:i/>
          <w:iCs/>
          <w:color w:val="000000"/>
          <w:lang w:val="en-US" w:eastAsia="fr-FR"/>
        </w:rPr>
        <w:t>Journal of Human Values</w:t>
      </w:r>
      <w:r w:rsidRPr="000E33BF">
        <w:rPr>
          <w:rFonts w:ascii="Times New Roman" w:eastAsia="Times New Roman" w:hAnsi="Times New Roman" w:cs="Times New Roman"/>
          <w:color w:val="000000"/>
          <w:lang w:val="en-US" w:eastAsia="fr-FR"/>
        </w:rPr>
        <w:t>, Vol.19, n°1, p. 73-82.</w:t>
      </w:r>
    </w:p>
    <w:p w14:paraId="5042D0CB"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ANACT (2015), </w:t>
      </w:r>
      <w:r w:rsidRPr="000E33BF">
        <w:rPr>
          <w:rFonts w:ascii="Times New Roman" w:eastAsia="Times New Roman" w:hAnsi="Times New Roman" w:cs="Times New Roman"/>
          <w:i/>
          <w:iCs/>
          <w:color w:val="000000"/>
          <w:lang w:eastAsia="fr-FR"/>
        </w:rPr>
        <w:t>10 Question sur la qualité de vie au travail</w:t>
      </w:r>
      <w:r w:rsidRPr="000E33BF">
        <w:rPr>
          <w:rFonts w:ascii="Times New Roman" w:eastAsia="Times New Roman" w:hAnsi="Times New Roman" w:cs="Times New Roman"/>
          <w:color w:val="000000"/>
          <w:lang w:eastAsia="fr-FR"/>
        </w:rPr>
        <w:t>, Lyon.</w:t>
      </w:r>
    </w:p>
    <w:p w14:paraId="2E50D510"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eastAsia="fr-FR"/>
        </w:rPr>
        <w:t xml:space="preserve">ANACT &amp; TNS-KANTAR (2017), </w:t>
      </w:r>
      <w:r w:rsidRPr="000E33BF">
        <w:rPr>
          <w:rFonts w:ascii="Times New Roman" w:eastAsia="Times New Roman" w:hAnsi="Times New Roman" w:cs="Times New Roman"/>
          <w:i/>
          <w:iCs/>
          <w:color w:val="000000"/>
          <w:lang w:eastAsia="fr-FR"/>
        </w:rPr>
        <w:t>Résultat du sondage QVT auprès des tops managers et des futurs managers et ingénieurs</w:t>
      </w:r>
      <w:r w:rsidRPr="000E33BF">
        <w:rPr>
          <w:rFonts w:ascii="Times New Roman" w:eastAsia="Times New Roman" w:hAnsi="Times New Roman" w:cs="Times New Roman"/>
          <w:color w:val="000000"/>
          <w:lang w:eastAsia="fr-FR"/>
        </w:rPr>
        <w:t xml:space="preserve">, Paris. </w:t>
      </w:r>
      <w:r w:rsidRPr="000E33BF">
        <w:rPr>
          <w:rFonts w:ascii="Times New Roman" w:eastAsia="Times New Roman" w:hAnsi="Times New Roman" w:cs="Times New Roman"/>
          <w:color w:val="000000"/>
          <w:lang w:val="en-US" w:eastAsia="fr-FR"/>
        </w:rPr>
        <w:t xml:space="preserve">Retrieved from </w:t>
      </w:r>
      <w:hyperlink r:id="rId9" w:history="1">
        <w:r w:rsidRPr="000E33BF">
          <w:rPr>
            <w:rFonts w:ascii="Times New Roman" w:eastAsia="Times New Roman" w:hAnsi="Times New Roman" w:cs="Times New Roman"/>
            <w:color w:val="1155CC"/>
            <w:u w:val="single"/>
            <w:lang w:val="en-US" w:eastAsia="fr-FR"/>
          </w:rPr>
          <w:t>https://www.anact.fr/file/7737/download?token=by2LpdiT</w:t>
        </w:r>
      </w:hyperlink>
    </w:p>
    <w:p w14:paraId="6E0A8E11"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Antonovsky A. (1987), The salutogenic perspective: toward a new view of health and illness. </w:t>
      </w:r>
      <w:r w:rsidRPr="000E33BF">
        <w:rPr>
          <w:rFonts w:ascii="Times New Roman" w:eastAsia="Times New Roman" w:hAnsi="Times New Roman" w:cs="Times New Roman"/>
          <w:i/>
          <w:iCs/>
          <w:color w:val="000000"/>
          <w:lang w:val="en-US" w:eastAsia="fr-FR"/>
        </w:rPr>
        <w:t>Advances, Institute for the Advancement of Health</w:t>
      </w:r>
      <w:r w:rsidRPr="000E33BF">
        <w:rPr>
          <w:rFonts w:ascii="Times New Roman" w:eastAsia="Times New Roman" w:hAnsi="Times New Roman" w:cs="Times New Roman"/>
          <w:color w:val="000000"/>
          <w:lang w:val="en-US" w:eastAsia="fr-FR"/>
        </w:rPr>
        <w:t>, Vol. 4, n° 1, p. 47–55.</w:t>
      </w:r>
    </w:p>
    <w:p w14:paraId="25F9186A"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lastRenderedPageBreak/>
        <w:t xml:space="preserve">Bachelard O. (2017), </w:t>
      </w:r>
      <w:r w:rsidRPr="000E33BF">
        <w:rPr>
          <w:rFonts w:ascii="Times New Roman" w:eastAsia="Times New Roman" w:hAnsi="Times New Roman" w:cs="Times New Roman"/>
          <w:i/>
          <w:iCs/>
          <w:color w:val="000000"/>
          <w:lang w:eastAsia="fr-FR"/>
        </w:rPr>
        <w:t>Le bien-être au travail</w:t>
      </w:r>
      <w:r w:rsidRPr="000E33BF">
        <w:rPr>
          <w:rFonts w:ascii="Times New Roman" w:eastAsia="Times New Roman" w:hAnsi="Times New Roman" w:cs="Times New Roman"/>
          <w:color w:val="000000"/>
          <w:lang w:eastAsia="fr-FR"/>
        </w:rPr>
        <w:t>, Rennes, Presses de l’EHESP.</w:t>
      </w:r>
    </w:p>
    <w:p w14:paraId="52EC2420" w14:textId="60465644" w:rsidR="00DD7899" w:rsidRPr="000E33BF" w:rsidRDefault="00DD7899" w:rsidP="007D330B">
      <w:pPr>
        <w:spacing w:before="12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Bailly J.-P. (2016), </w:t>
      </w:r>
      <w:r w:rsidRPr="000E33BF">
        <w:rPr>
          <w:rFonts w:ascii="Times New Roman" w:eastAsia="Times New Roman" w:hAnsi="Times New Roman" w:cs="Times New Roman"/>
          <w:i/>
          <w:iCs/>
          <w:color w:val="000000"/>
          <w:lang w:eastAsia="fr-FR"/>
        </w:rPr>
        <w:t xml:space="preserve">Réformez ! par le dialogue et la confiance, </w:t>
      </w:r>
      <w:r w:rsidRPr="000E33BF">
        <w:rPr>
          <w:rFonts w:ascii="Times New Roman" w:eastAsia="Times New Roman" w:hAnsi="Times New Roman" w:cs="Times New Roman"/>
          <w:color w:val="000000"/>
          <w:lang w:eastAsia="fr-FR"/>
        </w:rPr>
        <w:t>Paris, Descartes &amp; Cie</w:t>
      </w:r>
    </w:p>
    <w:p w14:paraId="602A6642" w14:textId="22849245"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Bardet F., Branchet B., Chabanet D., Richard D. (2019), Management Control Systems and Quality of Working Life: The Case of Young managers in the French Public Sector, </w:t>
      </w:r>
      <w:r w:rsidRPr="000E33BF">
        <w:rPr>
          <w:rFonts w:ascii="Times New Roman" w:eastAsia="Times New Roman" w:hAnsi="Times New Roman" w:cs="Times New Roman"/>
          <w:i/>
          <w:iCs/>
          <w:color w:val="000000"/>
          <w:lang w:val="en-US" w:eastAsia="fr-FR"/>
        </w:rPr>
        <w:t xml:space="preserve">Manuscrit soumis dans Human Relations, </w:t>
      </w:r>
      <w:r w:rsidRPr="000E33BF">
        <w:rPr>
          <w:rFonts w:ascii="Times New Roman" w:eastAsia="Times New Roman" w:hAnsi="Times New Roman" w:cs="Times New Roman"/>
          <w:color w:val="000000"/>
          <w:lang w:val="en-US" w:eastAsia="fr-FR"/>
        </w:rPr>
        <w:t>p. 1-33.</w:t>
      </w:r>
    </w:p>
    <w:p w14:paraId="55A1E451" w14:textId="2782E58E"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eastAsia="fr-FR"/>
        </w:rPr>
        <w:t xml:space="preserve">Baron X. (2011), Et si la performance </w:t>
      </w:r>
      <w:r w:rsidR="000A5309" w:rsidRPr="000E33BF">
        <w:rPr>
          <w:rFonts w:ascii="Times New Roman" w:eastAsia="Times New Roman" w:hAnsi="Times New Roman" w:cs="Times New Roman"/>
          <w:color w:val="000000"/>
          <w:lang w:eastAsia="fr-FR"/>
        </w:rPr>
        <w:t>était</w:t>
      </w:r>
      <w:r w:rsidRPr="000E33BF">
        <w:rPr>
          <w:rFonts w:ascii="Times New Roman" w:eastAsia="Times New Roman" w:hAnsi="Times New Roman" w:cs="Times New Roman"/>
          <w:color w:val="000000"/>
          <w:lang w:eastAsia="fr-FR"/>
        </w:rPr>
        <w:t xml:space="preserve"> source de bien être... </w:t>
      </w:r>
      <w:r w:rsidRPr="000E33BF">
        <w:rPr>
          <w:rFonts w:ascii="Times New Roman" w:eastAsia="Times New Roman" w:hAnsi="Times New Roman" w:cs="Times New Roman"/>
          <w:i/>
          <w:iCs/>
          <w:color w:val="000000"/>
          <w:lang w:val="en-US" w:eastAsia="fr-FR"/>
        </w:rPr>
        <w:t>L’Expansion Management Review</w:t>
      </w:r>
      <w:r w:rsidRPr="000E33BF">
        <w:rPr>
          <w:rFonts w:ascii="Times New Roman" w:eastAsia="Times New Roman" w:hAnsi="Times New Roman" w:cs="Times New Roman"/>
          <w:color w:val="000000"/>
          <w:lang w:val="en-US" w:eastAsia="fr-FR"/>
        </w:rPr>
        <w:t>, Vol. 141, n° 2, p. 10–19.</w:t>
      </w:r>
    </w:p>
    <w:p w14:paraId="3EC0D84F"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Basher Rubel M.R. &amp; Kee D.M.H. (2014), Quality of work life and employee performance: Antecedent and outcome of job satisfaction in partial least square (PLS) </w:t>
      </w:r>
      <w:r w:rsidRPr="000E33BF">
        <w:rPr>
          <w:rFonts w:ascii="Times New Roman" w:eastAsia="Times New Roman" w:hAnsi="Times New Roman" w:cs="Times New Roman"/>
          <w:i/>
          <w:iCs/>
          <w:color w:val="000000"/>
          <w:lang w:val="en-US" w:eastAsia="fr-FR"/>
        </w:rPr>
        <w:t>World Applied Sciences Journal</w:t>
      </w:r>
      <w:r w:rsidRPr="000E33BF">
        <w:rPr>
          <w:rFonts w:ascii="Times New Roman" w:eastAsia="Times New Roman" w:hAnsi="Times New Roman" w:cs="Times New Roman"/>
          <w:color w:val="000000"/>
          <w:lang w:val="en-US" w:eastAsia="fr-FR"/>
        </w:rPr>
        <w:t>, Vol. 31, n° 4, p. 456–467.</w:t>
      </w:r>
    </w:p>
    <w:p w14:paraId="07372339" w14:textId="0568647F" w:rsidR="0027107C" w:rsidRPr="000E33BF" w:rsidRDefault="0027107C" w:rsidP="007D330B">
      <w:pPr>
        <w:spacing w:before="120"/>
        <w:ind w:left="480" w:hanging="480"/>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Baudelot C. &amp; Gollac M. (2002), T</w:t>
      </w:r>
      <w:r w:rsidRPr="000E33BF">
        <w:rPr>
          <w:rFonts w:ascii="Times New Roman" w:eastAsia="Times New Roman" w:hAnsi="Times New Roman" w:cs="Times New Roman"/>
          <w:i/>
          <w:iCs/>
          <w:color w:val="000000"/>
          <w:lang w:eastAsia="fr-FR"/>
        </w:rPr>
        <w:t xml:space="preserve">ravailler pour être heureux ? Le bonheur et le travail en France, </w:t>
      </w:r>
      <w:r w:rsidRPr="000E33BF">
        <w:rPr>
          <w:rFonts w:ascii="Times New Roman" w:eastAsia="Times New Roman" w:hAnsi="Times New Roman" w:cs="Times New Roman"/>
          <w:color w:val="000000"/>
          <w:lang w:eastAsia="fr-FR"/>
        </w:rPr>
        <w:t>Paris, Fayard.</w:t>
      </w:r>
    </w:p>
    <w:p w14:paraId="10E3FDEF" w14:textId="1D012EFC" w:rsidR="00DD7899" w:rsidRPr="000E33BF" w:rsidRDefault="00DD7899"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Bauman, Z. (2006), </w:t>
      </w:r>
      <w:r w:rsidRPr="000E33BF">
        <w:rPr>
          <w:rFonts w:ascii="Times New Roman" w:eastAsia="Times New Roman" w:hAnsi="Times New Roman" w:cs="Times New Roman"/>
          <w:i/>
          <w:color w:val="000000"/>
          <w:lang w:eastAsia="fr-FR"/>
        </w:rPr>
        <w:t xml:space="preserve">La vie liquide, </w:t>
      </w:r>
      <w:r w:rsidRPr="000E33BF">
        <w:rPr>
          <w:rFonts w:ascii="Times New Roman" w:eastAsia="Times New Roman" w:hAnsi="Times New Roman" w:cs="Times New Roman"/>
          <w:color w:val="000000"/>
          <w:lang w:eastAsia="fr-FR"/>
        </w:rPr>
        <w:t>Paris, Le Rouergue.</w:t>
      </w:r>
    </w:p>
    <w:p w14:paraId="147FE4FE"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Beh L. &amp; Rose R.C. (2007), Linking QWL and Job Performance: Implications for Organizations </w:t>
      </w:r>
      <w:r w:rsidRPr="000E33BF">
        <w:rPr>
          <w:rFonts w:ascii="Times New Roman" w:eastAsia="Times New Roman" w:hAnsi="Times New Roman" w:cs="Times New Roman"/>
          <w:i/>
          <w:iCs/>
          <w:color w:val="000000"/>
          <w:lang w:val="en-US" w:eastAsia="fr-FR"/>
        </w:rPr>
        <w:t>Performance Improvement</w:t>
      </w:r>
      <w:r w:rsidRPr="000E33BF">
        <w:rPr>
          <w:rFonts w:ascii="Times New Roman" w:eastAsia="Times New Roman" w:hAnsi="Times New Roman" w:cs="Times New Roman"/>
          <w:color w:val="000000"/>
          <w:lang w:val="en-US" w:eastAsia="fr-FR"/>
        </w:rPr>
        <w:t>, Vol. 46, n° 6, p. 30–35.</w:t>
      </w:r>
    </w:p>
    <w:p w14:paraId="098097E7" w14:textId="7EFC74C1" w:rsidR="0027107C" w:rsidRPr="004B1ECD" w:rsidRDefault="0027107C" w:rsidP="007D330B">
      <w:pPr>
        <w:spacing w:before="120"/>
        <w:ind w:left="480" w:hanging="480"/>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val="en-US" w:eastAsia="fr-FR"/>
        </w:rPr>
        <w:t xml:space="preserve">Bergman D. A.B. (2007), Effects of dialogue groups on physicians’ work environment. </w:t>
      </w:r>
      <w:r w:rsidRPr="004B1ECD">
        <w:rPr>
          <w:rFonts w:ascii="Times New Roman" w:eastAsia="Times New Roman" w:hAnsi="Times New Roman" w:cs="Times New Roman"/>
          <w:i/>
          <w:iCs/>
          <w:color w:val="000000"/>
          <w:lang w:eastAsia="fr-FR"/>
        </w:rPr>
        <w:t>Journal of Health, Organisation and Management</w:t>
      </w:r>
      <w:r w:rsidRPr="004B1ECD">
        <w:rPr>
          <w:rFonts w:ascii="Times New Roman" w:eastAsia="Times New Roman" w:hAnsi="Times New Roman" w:cs="Times New Roman"/>
          <w:color w:val="000000"/>
          <w:lang w:eastAsia="fr-FR"/>
        </w:rPr>
        <w:t>, n° May 2017, p. 27–38.</w:t>
      </w:r>
    </w:p>
    <w:p w14:paraId="37153B32" w14:textId="77777777" w:rsidR="000A5309" w:rsidRDefault="00101A15" w:rsidP="007D330B">
      <w:pPr>
        <w:spacing w:before="120"/>
        <w:ind w:left="480" w:hanging="480"/>
        <w:jc w:val="both"/>
        <w:rPr>
          <w:rFonts w:ascii="Times New Roman" w:eastAsia="Times New Roman" w:hAnsi="Times New Roman" w:cs="Times New Roman"/>
          <w:color w:val="000000"/>
          <w:lang w:eastAsia="fr-FR"/>
        </w:rPr>
      </w:pPr>
      <w:r w:rsidRPr="00101A15">
        <w:rPr>
          <w:rFonts w:ascii="Times New Roman" w:eastAsia="Times New Roman" w:hAnsi="Times New Roman" w:cs="Times New Roman"/>
          <w:color w:val="000000"/>
          <w:lang w:eastAsia="fr-FR"/>
        </w:rPr>
        <w:t xml:space="preserve">Bernard, N., et Abord de Chatillon, E., (2018). </w:t>
      </w:r>
      <w:r w:rsidRPr="000A5309">
        <w:rPr>
          <w:rFonts w:ascii="Times New Roman" w:eastAsia="Times New Roman" w:hAnsi="Times New Roman" w:cs="Times New Roman"/>
          <w:i/>
          <w:color w:val="000000"/>
          <w:lang w:eastAsia="fr-FR"/>
        </w:rPr>
        <w:t>Du yin et du yang ? Une analyse des représentations du bien-être et de la performance de l’organisation.</w:t>
      </w:r>
      <w:r w:rsidRPr="00101A15">
        <w:rPr>
          <w:rFonts w:ascii="Times New Roman" w:eastAsia="Times New Roman" w:hAnsi="Times New Roman" w:cs="Times New Roman"/>
          <w:color w:val="000000"/>
          <w:lang w:eastAsia="fr-FR"/>
        </w:rPr>
        <w:t xml:space="preserve"> Communication présentée au 29ième congrès de l’AGRH, Lyon, France.</w:t>
      </w:r>
    </w:p>
    <w:p w14:paraId="2550322A" w14:textId="448CD0AB"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Bernoux P. (2015), </w:t>
      </w:r>
      <w:r w:rsidRPr="000E33BF">
        <w:rPr>
          <w:rFonts w:ascii="Times New Roman" w:eastAsia="Times New Roman" w:hAnsi="Times New Roman" w:cs="Times New Roman"/>
          <w:i/>
          <w:iCs/>
          <w:color w:val="000000"/>
          <w:lang w:eastAsia="fr-FR"/>
        </w:rPr>
        <w:t xml:space="preserve">Mieux-être au travail : appropriation et reconnaissance, </w:t>
      </w:r>
      <w:r w:rsidRPr="000E33BF">
        <w:rPr>
          <w:rFonts w:ascii="Times New Roman" w:eastAsia="Times New Roman" w:hAnsi="Times New Roman" w:cs="Times New Roman"/>
          <w:color w:val="000000"/>
          <w:lang w:eastAsia="fr-FR"/>
        </w:rPr>
        <w:t>Paris, Octarès Editions.</w:t>
      </w:r>
    </w:p>
    <w:p w14:paraId="10A14669"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Biétry F. &amp; Creusier J. (2013), Proposition d’une échelle de mesure Positive du bien-être au travail (EPBET) </w:t>
      </w:r>
      <w:r w:rsidRPr="000E33BF">
        <w:rPr>
          <w:rFonts w:ascii="Times New Roman" w:eastAsia="Times New Roman" w:hAnsi="Times New Roman" w:cs="Times New Roman"/>
          <w:i/>
          <w:iCs/>
          <w:color w:val="000000"/>
          <w:lang w:eastAsia="fr-FR"/>
        </w:rPr>
        <w:t>Revue de Gestion Des Ressources Humaines</w:t>
      </w:r>
      <w:r w:rsidRPr="000E33BF">
        <w:rPr>
          <w:rFonts w:ascii="Times New Roman" w:eastAsia="Times New Roman" w:hAnsi="Times New Roman" w:cs="Times New Roman"/>
          <w:color w:val="000000"/>
          <w:lang w:eastAsia="fr-FR"/>
        </w:rPr>
        <w:t>, Vol. 87, n° janvier-février-mars, p. 23–41.</w:t>
      </w:r>
    </w:p>
    <w:p w14:paraId="1616D2C2"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Bloom N. &amp; Van Reenen J. (2006), Management Practices, Work--Life Balance, and Productivity: A Review of Some Recent Evidence </w:t>
      </w:r>
      <w:r w:rsidRPr="000E33BF">
        <w:rPr>
          <w:rFonts w:ascii="Times New Roman" w:eastAsia="Times New Roman" w:hAnsi="Times New Roman" w:cs="Times New Roman"/>
          <w:i/>
          <w:iCs/>
          <w:color w:val="000000"/>
          <w:lang w:val="en-US" w:eastAsia="fr-FR"/>
        </w:rPr>
        <w:t>Oxford Review of Economic Policy</w:t>
      </w:r>
      <w:r w:rsidRPr="000E33BF">
        <w:rPr>
          <w:rFonts w:ascii="Times New Roman" w:eastAsia="Times New Roman" w:hAnsi="Times New Roman" w:cs="Times New Roman"/>
          <w:color w:val="000000"/>
          <w:lang w:val="en-US" w:eastAsia="fr-FR"/>
        </w:rPr>
        <w:t>, Vol. 22, n° 4, p. 457–482.</w:t>
      </w:r>
    </w:p>
    <w:p w14:paraId="04A02131"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Bourdu E. Péretié M.-M. &amp; Richer M. (2016), </w:t>
      </w:r>
      <w:r w:rsidRPr="000E33BF">
        <w:rPr>
          <w:rFonts w:ascii="Times New Roman" w:eastAsia="Times New Roman" w:hAnsi="Times New Roman" w:cs="Times New Roman"/>
          <w:i/>
          <w:iCs/>
          <w:color w:val="000000"/>
          <w:lang w:eastAsia="fr-FR"/>
        </w:rPr>
        <w:t>La qualité de vie au travail : un levier de compétitivité</w:t>
      </w:r>
      <w:r w:rsidRPr="000E33BF">
        <w:rPr>
          <w:rFonts w:ascii="Times New Roman" w:eastAsia="Times New Roman" w:hAnsi="Times New Roman" w:cs="Times New Roman"/>
          <w:color w:val="000000"/>
          <w:lang w:eastAsia="fr-FR"/>
        </w:rPr>
        <w:t>, Paris, Presses des Mines.</w:t>
      </w:r>
    </w:p>
    <w:p w14:paraId="0E25F792"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Carlson, H. (1980). A model of quality of work life as a developmental process. In W. Warner Burke &amp; L. D.</w:t>
      </w:r>
    </w:p>
    <w:p w14:paraId="61975A4E"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val="en-US" w:eastAsia="fr-FR"/>
        </w:rPr>
        <w:t xml:space="preserve">Goodstein (Eds.), Trends and Issues in 0D: Current Theory and Practice (pp. 83-123). </w:t>
      </w:r>
      <w:r w:rsidRPr="000E33BF">
        <w:rPr>
          <w:rFonts w:ascii="Times New Roman" w:eastAsia="Times New Roman" w:hAnsi="Times New Roman" w:cs="Times New Roman"/>
          <w:color w:val="000000"/>
          <w:lang w:eastAsia="fr-FR"/>
        </w:rPr>
        <w:t>San Diego,CA: Univ.</w:t>
      </w:r>
    </w:p>
    <w:p w14:paraId="06703A02"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Associates.</w:t>
      </w:r>
    </w:p>
    <w:p w14:paraId="1A6DFFC6"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Clot Y. (2010), </w:t>
      </w:r>
      <w:r w:rsidRPr="000E33BF">
        <w:rPr>
          <w:rFonts w:ascii="Times New Roman" w:eastAsia="Times New Roman" w:hAnsi="Times New Roman" w:cs="Times New Roman"/>
          <w:i/>
          <w:iCs/>
          <w:color w:val="000000"/>
          <w:lang w:eastAsia="fr-FR"/>
        </w:rPr>
        <w:t>Le Travail à cœur. Pour en finir avec les risques psychosociaux</w:t>
      </w:r>
      <w:r w:rsidRPr="000E33BF">
        <w:rPr>
          <w:rFonts w:ascii="Times New Roman" w:eastAsia="Times New Roman" w:hAnsi="Times New Roman" w:cs="Times New Roman"/>
          <w:color w:val="000000"/>
          <w:lang w:eastAsia="fr-FR"/>
        </w:rPr>
        <w:t>, Paris, La Découverte.</w:t>
      </w:r>
    </w:p>
    <w:p w14:paraId="08FA0661"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Collins J. (2001), </w:t>
      </w:r>
      <w:r w:rsidRPr="000E33BF">
        <w:rPr>
          <w:rFonts w:ascii="Times New Roman" w:eastAsia="Times New Roman" w:hAnsi="Times New Roman" w:cs="Times New Roman"/>
          <w:i/>
          <w:iCs/>
          <w:color w:val="000000"/>
          <w:lang w:val="en-US" w:eastAsia="fr-FR"/>
        </w:rPr>
        <w:t>Good to Great</w:t>
      </w:r>
      <w:r w:rsidRPr="000E33BF">
        <w:rPr>
          <w:rFonts w:ascii="Times New Roman" w:eastAsia="Times New Roman" w:hAnsi="Times New Roman" w:cs="Times New Roman"/>
          <w:color w:val="000000"/>
          <w:lang w:val="en-US" w:eastAsia="fr-FR"/>
        </w:rPr>
        <w:t>, New York, Random House.</w:t>
      </w:r>
    </w:p>
    <w:p w14:paraId="7AD37A98"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Conjard P. (2015), </w:t>
      </w:r>
      <w:r w:rsidRPr="000E33BF">
        <w:rPr>
          <w:rFonts w:ascii="Times New Roman" w:eastAsia="Times New Roman" w:hAnsi="Times New Roman" w:cs="Times New Roman"/>
          <w:i/>
          <w:iCs/>
          <w:color w:val="000000"/>
          <w:lang w:eastAsia="fr-FR"/>
        </w:rPr>
        <w:t>Le management du travail : Une alternative pour améliorer bien-être et efficacité au travail</w:t>
      </w:r>
      <w:r w:rsidRPr="000E33BF">
        <w:rPr>
          <w:rFonts w:ascii="Times New Roman" w:eastAsia="Times New Roman" w:hAnsi="Times New Roman" w:cs="Times New Roman"/>
          <w:color w:val="000000"/>
          <w:lang w:eastAsia="fr-FR"/>
        </w:rPr>
        <w:t>, Paris, Editions Anact.</w:t>
      </w:r>
    </w:p>
    <w:p w14:paraId="1E1324BD"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Conway E. Fu N. Monks K. Alfes K. &amp; Bailey C. (2016), Demands or Resources? The Relationship Between HR Practices, Employee Engagement, and Emotional Exhaustion </w:t>
      </w:r>
      <w:r w:rsidRPr="000E33BF">
        <w:rPr>
          <w:rFonts w:ascii="Times New Roman" w:eastAsia="Times New Roman" w:hAnsi="Times New Roman" w:cs="Times New Roman"/>
          <w:color w:val="000000"/>
          <w:lang w:val="en-US" w:eastAsia="fr-FR"/>
        </w:rPr>
        <w:lastRenderedPageBreak/>
        <w:t xml:space="preserve">Within a Hybrid Model of Employment Relations </w:t>
      </w:r>
      <w:r w:rsidRPr="000E33BF">
        <w:rPr>
          <w:rFonts w:ascii="Times New Roman" w:eastAsia="Times New Roman" w:hAnsi="Times New Roman" w:cs="Times New Roman"/>
          <w:i/>
          <w:iCs/>
          <w:color w:val="000000"/>
          <w:lang w:val="en-US" w:eastAsia="fr-FR"/>
        </w:rPr>
        <w:t>Human Resource Management</w:t>
      </w:r>
      <w:r w:rsidRPr="000E33BF">
        <w:rPr>
          <w:rFonts w:ascii="Times New Roman" w:eastAsia="Times New Roman" w:hAnsi="Times New Roman" w:cs="Times New Roman"/>
          <w:color w:val="000000"/>
          <w:lang w:val="en-US" w:eastAsia="fr-FR"/>
        </w:rPr>
        <w:t>, Vol. 55, n° 5, p. 901–917.</w:t>
      </w:r>
    </w:p>
    <w:p w14:paraId="5F752287"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Cowen E.L. (1994), The enhancement of psychological wellness: Challenges and opportunities </w:t>
      </w:r>
      <w:r w:rsidRPr="000E33BF">
        <w:rPr>
          <w:rFonts w:ascii="Times New Roman" w:eastAsia="Times New Roman" w:hAnsi="Times New Roman" w:cs="Times New Roman"/>
          <w:i/>
          <w:iCs/>
          <w:color w:val="000000"/>
          <w:lang w:val="en-US" w:eastAsia="fr-FR"/>
        </w:rPr>
        <w:t>American Journal of Community Psychology</w:t>
      </w:r>
      <w:r w:rsidRPr="000E33BF">
        <w:rPr>
          <w:rFonts w:ascii="Times New Roman" w:eastAsia="Times New Roman" w:hAnsi="Times New Roman" w:cs="Times New Roman"/>
          <w:color w:val="000000"/>
          <w:lang w:val="en-US" w:eastAsia="fr-FR"/>
        </w:rPr>
        <w:t>, Vol. 22, n° 2, p. 149–179.</w:t>
      </w:r>
    </w:p>
    <w:p w14:paraId="2BBA73E7"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eastAsia="fr-FR"/>
        </w:rPr>
        <w:t xml:space="preserve">Dagenais-Desmarais V. Dufour M.-È. St-Hilaire F. &amp; Hébert R. (2013), Santé organisationnelle: où en sommes-nous et vers où allons-nous au Québec? </w:t>
      </w:r>
      <w:r w:rsidRPr="000E33BF">
        <w:rPr>
          <w:rFonts w:ascii="Times New Roman" w:eastAsia="Times New Roman" w:hAnsi="Times New Roman" w:cs="Times New Roman"/>
          <w:i/>
          <w:iCs/>
          <w:color w:val="000000"/>
          <w:lang w:val="en-US" w:eastAsia="fr-FR"/>
        </w:rPr>
        <w:t>Relations Industrielles/Industrial Relations</w:t>
      </w:r>
      <w:r w:rsidRPr="000E33BF">
        <w:rPr>
          <w:rFonts w:ascii="Times New Roman" w:eastAsia="Times New Roman" w:hAnsi="Times New Roman" w:cs="Times New Roman"/>
          <w:color w:val="000000"/>
          <w:lang w:val="en-US" w:eastAsia="fr-FR"/>
        </w:rPr>
        <w:t>, Vol. 68, n° 4, p. 661–681.</w:t>
      </w:r>
    </w:p>
    <w:p w14:paraId="2AFD3D1C"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Dagenais-Desmarais V. &amp; Savoie  A. (2012), What is Psychological Well-Being, Really? A Grassroots Approach from the Organizational Sciences </w:t>
      </w:r>
      <w:r w:rsidRPr="000E33BF">
        <w:rPr>
          <w:rFonts w:ascii="Times New Roman" w:eastAsia="Times New Roman" w:hAnsi="Times New Roman" w:cs="Times New Roman"/>
          <w:i/>
          <w:iCs/>
          <w:color w:val="000000"/>
          <w:lang w:val="en-US" w:eastAsia="fr-FR"/>
        </w:rPr>
        <w:t>Journal of Happiness Studies</w:t>
      </w:r>
      <w:r w:rsidRPr="000E33BF">
        <w:rPr>
          <w:rFonts w:ascii="Times New Roman" w:eastAsia="Times New Roman" w:hAnsi="Times New Roman" w:cs="Times New Roman"/>
          <w:color w:val="000000"/>
          <w:lang w:val="en-US" w:eastAsia="fr-FR"/>
        </w:rPr>
        <w:t>, Vol. 13, n° 4, p. 659–684.</w:t>
      </w:r>
    </w:p>
    <w:p w14:paraId="501E2CFE" w14:textId="7D3A1D6A"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eastAsia="fr-FR"/>
        </w:rPr>
        <w:t>Dalmas, M. (2016</w:t>
      </w:r>
      <w:r w:rsidR="00424942" w:rsidRPr="000E33BF">
        <w:rPr>
          <w:rFonts w:ascii="Times New Roman" w:eastAsia="Times New Roman" w:hAnsi="Times New Roman" w:cs="Times New Roman"/>
          <w:color w:val="000000"/>
          <w:lang w:eastAsia="fr-FR"/>
        </w:rPr>
        <w:t>)</w:t>
      </w:r>
      <w:r w:rsidRPr="000E33BF">
        <w:rPr>
          <w:rFonts w:ascii="Times New Roman" w:eastAsia="Times New Roman" w:hAnsi="Times New Roman" w:cs="Times New Roman"/>
          <w:color w:val="000000"/>
          <w:lang w:eastAsia="fr-FR"/>
        </w:rPr>
        <w:t xml:space="preserve">. Que recherchent les cadres chargés du recrutement de la génération Y? </w:t>
      </w:r>
      <w:r w:rsidRPr="000E33BF">
        <w:rPr>
          <w:rFonts w:ascii="Times New Roman" w:eastAsia="Times New Roman" w:hAnsi="Times New Roman" w:cs="Times New Roman"/>
          <w:color w:val="000000"/>
          <w:lang w:val="en-US" w:eastAsia="fr-FR"/>
        </w:rPr>
        <w:t xml:space="preserve">Une analyse exploratoire. </w:t>
      </w:r>
      <w:r w:rsidRPr="000E33BF">
        <w:rPr>
          <w:rFonts w:ascii="Times New Roman" w:eastAsia="Times New Roman" w:hAnsi="Times New Roman" w:cs="Times New Roman"/>
          <w:i/>
          <w:color w:val="000000"/>
          <w:lang w:val="en-US" w:eastAsia="fr-FR"/>
        </w:rPr>
        <w:t xml:space="preserve">Management </w:t>
      </w:r>
      <w:r w:rsidR="00424942" w:rsidRPr="000E33BF">
        <w:rPr>
          <w:rFonts w:ascii="Times New Roman" w:eastAsia="Times New Roman" w:hAnsi="Times New Roman" w:cs="Times New Roman"/>
          <w:i/>
          <w:color w:val="000000"/>
          <w:lang w:val="en-US" w:eastAsia="fr-FR"/>
        </w:rPr>
        <w:t xml:space="preserve">&amp; </w:t>
      </w:r>
      <w:r w:rsidRPr="000E33BF">
        <w:rPr>
          <w:rFonts w:ascii="Times New Roman" w:eastAsia="Times New Roman" w:hAnsi="Times New Roman" w:cs="Times New Roman"/>
          <w:i/>
          <w:color w:val="000000"/>
          <w:lang w:val="en-US" w:eastAsia="fr-FR"/>
        </w:rPr>
        <w:t>Avenir</w:t>
      </w:r>
      <w:r w:rsidRPr="000E33BF">
        <w:rPr>
          <w:rFonts w:ascii="Times New Roman" w:eastAsia="Times New Roman" w:hAnsi="Times New Roman" w:cs="Times New Roman"/>
          <w:color w:val="000000"/>
          <w:lang w:val="en-US" w:eastAsia="fr-FR"/>
        </w:rPr>
        <w:t>, Vol. 83, n°1, p. 51-76.</w:t>
      </w:r>
    </w:p>
    <w:p w14:paraId="30B0F39A"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Davila A. Foster G. &amp; Li M. (2009), Reasons for management control systems adoption: Insights from product development systems choice by early-stage entrepreneurial companies </w:t>
      </w:r>
      <w:r w:rsidRPr="000E33BF">
        <w:rPr>
          <w:rFonts w:ascii="Times New Roman" w:eastAsia="Times New Roman" w:hAnsi="Times New Roman" w:cs="Times New Roman"/>
          <w:i/>
          <w:iCs/>
          <w:color w:val="000000"/>
          <w:lang w:val="en-US" w:eastAsia="fr-FR"/>
        </w:rPr>
        <w:t>Accounting, Organizations and Society</w:t>
      </w:r>
      <w:r w:rsidRPr="000E33BF">
        <w:rPr>
          <w:rFonts w:ascii="Times New Roman" w:eastAsia="Times New Roman" w:hAnsi="Times New Roman" w:cs="Times New Roman"/>
          <w:color w:val="000000"/>
          <w:lang w:val="en-US" w:eastAsia="fr-FR"/>
        </w:rPr>
        <w:t>, Vol. 34, n° 3–4, p. 322–347.</w:t>
      </w:r>
    </w:p>
    <w:p w14:paraId="0F7E20EE"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Davis L.E. &amp; Cherns A.B. (1975), </w:t>
      </w:r>
      <w:r w:rsidRPr="000E33BF">
        <w:rPr>
          <w:rFonts w:ascii="Times New Roman" w:eastAsia="Times New Roman" w:hAnsi="Times New Roman" w:cs="Times New Roman"/>
          <w:i/>
          <w:iCs/>
          <w:color w:val="000000"/>
          <w:lang w:val="en-US" w:eastAsia="fr-FR"/>
        </w:rPr>
        <w:t>The quality of working life Vols. 1 and 2</w:t>
      </w:r>
      <w:r w:rsidRPr="000E33BF">
        <w:rPr>
          <w:rFonts w:ascii="Times New Roman" w:eastAsia="Times New Roman" w:hAnsi="Times New Roman" w:cs="Times New Roman"/>
          <w:color w:val="000000"/>
          <w:lang w:val="en-US" w:eastAsia="fr-FR"/>
        </w:rPr>
        <w:t>, New York, Free Press.</w:t>
      </w:r>
    </w:p>
    <w:p w14:paraId="74C216F6"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Deci E.L. &amp; Ryan R.M. (2008), Hedonia, eudaimonia, and well-being: an introduction, </w:t>
      </w:r>
      <w:r w:rsidRPr="000E33BF">
        <w:rPr>
          <w:rFonts w:ascii="Times New Roman" w:eastAsia="Times New Roman" w:hAnsi="Times New Roman" w:cs="Times New Roman"/>
          <w:i/>
          <w:iCs/>
          <w:color w:val="000000"/>
          <w:lang w:val="en-US" w:eastAsia="fr-FR"/>
        </w:rPr>
        <w:t>Journal of Happiness Studies</w:t>
      </w:r>
      <w:r w:rsidRPr="000E33BF">
        <w:rPr>
          <w:rFonts w:ascii="Times New Roman" w:eastAsia="Times New Roman" w:hAnsi="Times New Roman" w:cs="Times New Roman"/>
          <w:color w:val="000000"/>
          <w:lang w:val="en-US" w:eastAsia="fr-FR"/>
        </w:rPr>
        <w:t>, Vol. 9, n° 1, p. 1–11.</w:t>
      </w:r>
    </w:p>
    <w:p w14:paraId="54F7C6AA"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Dejours C. (1998), </w:t>
      </w:r>
      <w:r w:rsidRPr="000E33BF">
        <w:rPr>
          <w:rFonts w:ascii="Times New Roman" w:eastAsia="Times New Roman" w:hAnsi="Times New Roman" w:cs="Times New Roman"/>
          <w:i/>
          <w:iCs/>
          <w:color w:val="000000"/>
          <w:lang w:eastAsia="fr-FR"/>
        </w:rPr>
        <w:t>Souffrance en France</w:t>
      </w:r>
      <w:r w:rsidRPr="000E33BF">
        <w:rPr>
          <w:rFonts w:ascii="Times New Roman" w:eastAsia="Times New Roman" w:hAnsi="Times New Roman" w:cs="Times New Roman"/>
          <w:color w:val="000000"/>
          <w:lang w:eastAsia="fr-FR"/>
        </w:rPr>
        <w:t>, Paris, Seuil.</w:t>
      </w:r>
    </w:p>
    <w:p w14:paraId="408D45CB"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Detchessahar M. (2013), Faire face aux risques psycho-sociaux : quelques éléments d’un management par la discussion, </w:t>
      </w:r>
      <w:r w:rsidRPr="000E33BF">
        <w:rPr>
          <w:rFonts w:ascii="Times New Roman" w:eastAsia="Times New Roman" w:hAnsi="Times New Roman" w:cs="Times New Roman"/>
          <w:i/>
          <w:iCs/>
          <w:color w:val="000000"/>
          <w:lang w:eastAsia="fr-FR"/>
        </w:rPr>
        <w:t>Négociations</w:t>
      </w:r>
      <w:r w:rsidRPr="000E33BF">
        <w:rPr>
          <w:rFonts w:ascii="Times New Roman" w:eastAsia="Times New Roman" w:hAnsi="Times New Roman" w:cs="Times New Roman"/>
          <w:color w:val="000000"/>
          <w:lang w:eastAsia="fr-FR"/>
        </w:rPr>
        <w:t>, Vol. 19, n° 1, p. 57–80.</w:t>
      </w:r>
    </w:p>
    <w:p w14:paraId="06BB5504" w14:textId="77777777" w:rsidR="0027107C" w:rsidRPr="000E33BF" w:rsidRDefault="0027107C" w:rsidP="007D330B">
      <w:pPr>
        <w:spacing w:before="120"/>
        <w:ind w:left="480" w:hanging="480"/>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 xml:space="preserve">Detchessahar M. (2019), Discuter pour quoi faire ? Enjeux et méthodes du dialogue dans l’entreprise In M. Detchassahar (Ed.), </w:t>
      </w:r>
      <w:r w:rsidRPr="000E33BF">
        <w:rPr>
          <w:rFonts w:ascii="Times New Roman" w:eastAsia="Times New Roman" w:hAnsi="Times New Roman" w:cs="Times New Roman"/>
          <w:i/>
          <w:iCs/>
          <w:color w:val="000000"/>
          <w:lang w:eastAsia="fr-FR"/>
        </w:rPr>
        <w:t xml:space="preserve">L’entreprise délibérée, </w:t>
      </w:r>
      <w:r w:rsidRPr="000E33BF">
        <w:rPr>
          <w:rFonts w:ascii="Times New Roman" w:eastAsia="Times New Roman" w:hAnsi="Times New Roman" w:cs="Times New Roman"/>
          <w:color w:val="000000"/>
          <w:lang w:eastAsia="fr-FR"/>
        </w:rPr>
        <w:t>Paris, Nouvelle Cité GRACE.</w:t>
      </w:r>
    </w:p>
    <w:p w14:paraId="5BB92CE1" w14:textId="77777777" w:rsidR="006A59A0" w:rsidRPr="000E33BF" w:rsidRDefault="006A59A0"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lang w:val="en-US" w:eastAsia="fr-FR"/>
        </w:rPr>
        <w:t xml:space="preserve">Diener E. (1984). Subjective well-being. </w:t>
      </w:r>
      <w:r w:rsidRPr="000E33BF">
        <w:rPr>
          <w:rFonts w:ascii="Times New Roman" w:eastAsia="Times New Roman" w:hAnsi="Times New Roman" w:cs="Times New Roman"/>
          <w:i/>
          <w:lang w:eastAsia="fr-FR"/>
        </w:rPr>
        <w:t>Psychological Bulletin</w:t>
      </w:r>
      <w:r w:rsidRPr="000E33BF">
        <w:rPr>
          <w:rFonts w:ascii="Times New Roman" w:eastAsia="Times New Roman" w:hAnsi="Times New Roman" w:cs="Times New Roman"/>
          <w:lang w:eastAsia="fr-FR"/>
        </w:rPr>
        <w:t>, vol. 95, 542-575.</w:t>
      </w:r>
    </w:p>
    <w:p w14:paraId="69FB96F1" w14:textId="77777777" w:rsidR="006A59A0" w:rsidRPr="000E33BF" w:rsidRDefault="006A59A0" w:rsidP="007D330B">
      <w:pPr>
        <w:spacing w:before="120"/>
        <w:ind w:left="480" w:hanging="480"/>
        <w:jc w:val="both"/>
        <w:rPr>
          <w:rFonts w:ascii="Times New Roman" w:eastAsia="Times New Roman" w:hAnsi="Times New Roman" w:cs="Times New Roman"/>
          <w:lang w:val="en-US" w:eastAsia="fr-FR"/>
        </w:rPr>
      </w:pPr>
      <w:r w:rsidRPr="004C2386">
        <w:rPr>
          <w:rFonts w:ascii="Times New Roman" w:eastAsia="Times New Roman" w:hAnsi="Times New Roman" w:cs="Times New Roman"/>
          <w:lang w:val="en-US" w:eastAsia="fr-FR"/>
        </w:rPr>
        <w:t xml:space="preserve">Diener E. (2003). </w:t>
      </w:r>
      <w:r w:rsidRPr="000E33BF">
        <w:rPr>
          <w:rFonts w:ascii="Times New Roman" w:eastAsia="Times New Roman" w:hAnsi="Times New Roman" w:cs="Times New Roman"/>
          <w:lang w:val="en-US" w:eastAsia="fr-FR"/>
        </w:rPr>
        <w:t xml:space="preserve">Personality, Culture, and Subjective Well-Being : Emotional and cognitive evaluations of life. </w:t>
      </w:r>
      <w:r w:rsidRPr="000E33BF">
        <w:rPr>
          <w:rFonts w:ascii="Times New Roman" w:eastAsia="Times New Roman" w:hAnsi="Times New Roman" w:cs="Times New Roman"/>
          <w:i/>
          <w:lang w:val="en-US" w:eastAsia="fr-FR"/>
        </w:rPr>
        <w:t>Annual Review of Psychology</w:t>
      </w:r>
      <w:r w:rsidRPr="000E33BF">
        <w:rPr>
          <w:rFonts w:ascii="Times New Roman" w:eastAsia="Times New Roman" w:hAnsi="Times New Roman" w:cs="Times New Roman"/>
          <w:lang w:val="en-US" w:eastAsia="fr-FR"/>
        </w:rPr>
        <w:t>. 54,  403-425. doi: 10.1146/annurev.psych.54.101601.145056</w:t>
      </w:r>
    </w:p>
    <w:p w14:paraId="73DA8845" w14:textId="77777777" w:rsidR="006A59A0" w:rsidRPr="000E33BF" w:rsidRDefault="006A59A0"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lang w:val="en-US" w:eastAsia="fr-FR"/>
        </w:rPr>
        <w:t xml:space="preserve">Diener, E., Sapyta, J.J. et Suh, E. (1998). Subjective well-being is essential to well-being. </w:t>
      </w:r>
      <w:r w:rsidRPr="000E33BF">
        <w:rPr>
          <w:rFonts w:ascii="Times New Roman" w:eastAsia="Times New Roman" w:hAnsi="Times New Roman" w:cs="Times New Roman"/>
          <w:i/>
          <w:lang w:val="en-US" w:eastAsia="fr-FR"/>
        </w:rPr>
        <w:t>Psychological Inquiry</w:t>
      </w:r>
      <w:r w:rsidRPr="000E33BF">
        <w:rPr>
          <w:rFonts w:ascii="Times New Roman" w:eastAsia="Times New Roman" w:hAnsi="Times New Roman" w:cs="Times New Roman"/>
          <w:lang w:val="en-US" w:eastAsia="fr-FR"/>
        </w:rPr>
        <w:t>, vol. 9, 33-37.</w:t>
      </w:r>
    </w:p>
    <w:p w14:paraId="21AAAE69" w14:textId="77777777" w:rsidR="006A59A0" w:rsidRPr="000E33BF" w:rsidRDefault="006A59A0"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lang w:val="en-US" w:eastAsia="fr-FR"/>
        </w:rPr>
        <w:t xml:space="preserve">Diener, E., Pressman, S. D., Hunter J. Delgadillo-Chase, D. (2017). If, why, and when well-being influences health, and future needed research. </w:t>
      </w:r>
      <w:r w:rsidRPr="000E33BF">
        <w:rPr>
          <w:rFonts w:ascii="Times New Roman" w:eastAsia="Times New Roman" w:hAnsi="Times New Roman" w:cs="Times New Roman"/>
          <w:i/>
          <w:lang w:eastAsia="fr-FR"/>
        </w:rPr>
        <w:t>Applied Psychology: Health and well-being</w:t>
      </w:r>
      <w:r w:rsidRPr="000E33BF">
        <w:rPr>
          <w:rFonts w:ascii="Times New Roman" w:eastAsia="Times New Roman" w:hAnsi="Times New Roman" w:cs="Times New Roman"/>
          <w:lang w:eastAsia="fr-FR"/>
        </w:rPr>
        <w:t>, 9 (2), 133-167.  doi:10.1111/aphw.12090</w:t>
      </w:r>
    </w:p>
    <w:p w14:paraId="2BF1C8FD" w14:textId="6818467B" w:rsidR="0027107C" w:rsidRPr="000E33BF" w:rsidRDefault="0027107C" w:rsidP="007D330B">
      <w:pPr>
        <w:spacing w:before="120"/>
        <w:ind w:left="480" w:hanging="480"/>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eastAsia="fr-FR"/>
        </w:rPr>
        <w:t xml:space="preserve">Feuvrier M.-P. (2014), Bonheur et travail, oxymore ou piste de management stratégique de l’entreprise ? </w:t>
      </w:r>
      <w:r w:rsidRPr="000E33BF">
        <w:rPr>
          <w:rFonts w:ascii="Times New Roman" w:eastAsia="Times New Roman" w:hAnsi="Times New Roman" w:cs="Times New Roman"/>
          <w:i/>
          <w:iCs/>
          <w:color w:val="000000"/>
          <w:lang w:eastAsia="fr-FR"/>
        </w:rPr>
        <w:t>Management &amp; Avenir</w:t>
      </w:r>
      <w:r w:rsidRPr="000E33BF">
        <w:rPr>
          <w:rFonts w:ascii="Times New Roman" w:eastAsia="Times New Roman" w:hAnsi="Times New Roman" w:cs="Times New Roman"/>
          <w:color w:val="000000"/>
          <w:lang w:eastAsia="fr-FR"/>
        </w:rPr>
        <w:t>, Vol. 68, n° 2, p. 164–182.</w:t>
      </w:r>
    </w:p>
    <w:p w14:paraId="0654DC97" w14:textId="5A246EAB" w:rsidR="001511AE" w:rsidRPr="000E33BF" w:rsidRDefault="001511AE" w:rsidP="007D330B">
      <w:pPr>
        <w:spacing w:before="120"/>
        <w:ind w:left="480" w:hanging="480"/>
        <w:jc w:val="both"/>
        <w:rPr>
          <w:rFonts w:ascii="Times New Roman" w:eastAsia="Times New Roman" w:hAnsi="Times New Roman" w:cs="Times New Roman"/>
          <w:lang w:eastAsia="fr-FR"/>
        </w:rPr>
      </w:pPr>
      <w:r w:rsidRPr="004C2386">
        <w:rPr>
          <w:rFonts w:ascii="Times New Roman" w:eastAsia="Times New Roman" w:hAnsi="Times New Roman" w:cs="Times New Roman"/>
          <w:lang w:val="en-US" w:eastAsia="fr-FR"/>
        </w:rPr>
        <w:t xml:space="preserve">Frey, B. S., Homberg, F., &amp; Osterloh, M. (2013). </w:t>
      </w:r>
      <w:r w:rsidRPr="000E33BF">
        <w:rPr>
          <w:rFonts w:ascii="Times New Roman" w:eastAsia="Times New Roman" w:hAnsi="Times New Roman" w:cs="Times New Roman"/>
          <w:lang w:val="en-US" w:eastAsia="fr-FR"/>
        </w:rPr>
        <w:t xml:space="preserve">Organizational control systems and pay-for-performance in the public service. </w:t>
      </w:r>
      <w:r w:rsidRPr="000E33BF">
        <w:rPr>
          <w:rFonts w:ascii="Times New Roman" w:eastAsia="Times New Roman" w:hAnsi="Times New Roman" w:cs="Times New Roman"/>
          <w:i/>
          <w:lang w:eastAsia="fr-FR"/>
        </w:rPr>
        <w:t>Organization Studies</w:t>
      </w:r>
      <w:r w:rsidRPr="000E33BF">
        <w:rPr>
          <w:rFonts w:ascii="Times New Roman" w:eastAsia="Times New Roman" w:hAnsi="Times New Roman" w:cs="Times New Roman"/>
          <w:lang w:eastAsia="fr-FR"/>
        </w:rPr>
        <w:t>, Vol. 34, n°7, p. 949-972.</w:t>
      </w:r>
    </w:p>
    <w:p w14:paraId="75B85964"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Gollac M. (2009), </w:t>
      </w:r>
      <w:r w:rsidRPr="000E33BF">
        <w:rPr>
          <w:rFonts w:ascii="Times New Roman" w:eastAsia="Times New Roman" w:hAnsi="Times New Roman" w:cs="Times New Roman"/>
          <w:i/>
          <w:iCs/>
          <w:color w:val="000000"/>
          <w:lang w:eastAsia="fr-FR"/>
        </w:rPr>
        <w:t>Indicateurs provisoires de facteurs de risques psychosociaux au travail, Rapport du Collège d’expertise sur le suivi statistique des risques psychosociaux au travail</w:t>
      </w:r>
      <w:r w:rsidRPr="000E33BF">
        <w:rPr>
          <w:rFonts w:ascii="Times New Roman" w:eastAsia="Times New Roman" w:hAnsi="Times New Roman" w:cs="Times New Roman"/>
          <w:color w:val="000000"/>
          <w:lang w:eastAsia="fr-FR"/>
        </w:rPr>
        <w:t>, Paris.</w:t>
      </w:r>
    </w:p>
    <w:p w14:paraId="3C4A361B"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eastAsia="fr-FR"/>
        </w:rPr>
        <w:lastRenderedPageBreak/>
        <w:t xml:space="preserve">Groysberg B. &amp; Slind M. (2014), Diriger, c’est dialoguer ! </w:t>
      </w:r>
      <w:r w:rsidRPr="000E33BF">
        <w:rPr>
          <w:rFonts w:ascii="Times New Roman" w:eastAsia="Times New Roman" w:hAnsi="Times New Roman" w:cs="Times New Roman"/>
          <w:i/>
          <w:iCs/>
          <w:color w:val="000000"/>
          <w:lang w:val="en-US" w:eastAsia="fr-FR"/>
        </w:rPr>
        <w:t>Harvard Business Review</w:t>
      </w:r>
      <w:r w:rsidRPr="000E33BF">
        <w:rPr>
          <w:rFonts w:ascii="Times New Roman" w:eastAsia="Times New Roman" w:hAnsi="Times New Roman" w:cs="Times New Roman"/>
          <w:color w:val="000000"/>
          <w:lang w:val="en-US" w:eastAsia="fr-FR"/>
        </w:rPr>
        <w:t>, Vol. 5, n° Oct-Nov, p. 74–82.</w:t>
      </w:r>
    </w:p>
    <w:p w14:paraId="060A8F7D"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Hsieh T. (2011), </w:t>
      </w:r>
      <w:r w:rsidRPr="000E33BF">
        <w:rPr>
          <w:rFonts w:ascii="Times New Roman" w:eastAsia="Times New Roman" w:hAnsi="Times New Roman" w:cs="Times New Roman"/>
          <w:i/>
          <w:iCs/>
          <w:color w:val="000000"/>
          <w:lang w:eastAsia="fr-FR"/>
        </w:rPr>
        <w:t>L’entreprise du bonheur</w:t>
      </w:r>
      <w:r w:rsidRPr="000E33BF">
        <w:rPr>
          <w:rFonts w:ascii="Times New Roman" w:eastAsia="Times New Roman" w:hAnsi="Times New Roman" w:cs="Times New Roman"/>
          <w:color w:val="000000"/>
          <w:lang w:eastAsia="fr-FR"/>
        </w:rPr>
        <w:t>, Paris, Leduc S. Editions.</w:t>
      </w:r>
    </w:p>
    <w:p w14:paraId="5E2F748B"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Hubault F. (2017), </w:t>
      </w:r>
      <w:r w:rsidRPr="000E33BF">
        <w:rPr>
          <w:rFonts w:ascii="Times New Roman" w:eastAsia="Times New Roman" w:hAnsi="Times New Roman" w:cs="Times New Roman"/>
          <w:i/>
          <w:iCs/>
          <w:color w:val="000000"/>
          <w:lang w:eastAsia="fr-FR"/>
        </w:rPr>
        <w:t>Les espaces du travail - Enjeux, savoirs, pratiques</w:t>
      </w:r>
      <w:r w:rsidRPr="000E33BF">
        <w:rPr>
          <w:rFonts w:ascii="Times New Roman" w:eastAsia="Times New Roman" w:hAnsi="Times New Roman" w:cs="Times New Roman"/>
          <w:color w:val="000000"/>
          <w:lang w:eastAsia="fr-FR"/>
        </w:rPr>
        <w:t>, Toulouse, Octarès Editions Collection Le Travail en Débats.</w:t>
      </w:r>
    </w:p>
    <w:p w14:paraId="5D96D2EF"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Illouz E. &amp; Cabanas E. (2018), </w:t>
      </w:r>
      <w:r w:rsidRPr="000E33BF">
        <w:rPr>
          <w:rFonts w:ascii="Times New Roman" w:eastAsia="Times New Roman" w:hAnsi="Times New Roman" w:cs="Times New Roman"/>
          <w:i/>
          <w:iCs/>
          <w:color w:val="000000"/>
          <w:lang w:eastAsia="fr-FR"/>
        </w:rPr>
        <w:t>Happycratie : Comment l’industrie du bonheur a pris le contrôle de nos vies</w:t>
      </w:r>
      <w:r w:rsidRPr="000E33BF">
        <w:rPr>
          <w:rFonts w:ascii="Times New Roman" w:eastAsia="Times New Roman" w:hAnsi="Times New Roman" w:cs="Times New Roman"/>
          <w:color w:val="000000"/>
          <w:lang w:eastAsia="fr-FR"/>
        </w:rPr>
        <w:t>, Paris, Premier Parallèle.</w:t>
      </w:r>
    </w:p>
    <w:p w14:paraId="7E26FDE0"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Illouz E. (2019), </w:t>
      </w:r>
      <w:r w:rsidRPr="000E33BF">
        <w:rPr>
          <w:rFonts w:ascii="Times New Roman" w:eastAsia="Times New Roman" w:hAnsi="Times New Roman" w:cs="Times New Roman"/>
          <w:i/>
          <w:iCs/>
          <w:color w:val="000000"/>
          <w:lang w:eastAsia="fr-FR"/>
        </w:rPr>
        <w:t>Les marchandises émotionnelles</w:t>
      </w:r>
      <w:r w:rsidRPr="000E33BF">
        <w:rPr>
          <w:rFonts w:ascii="Times New Roman" w:eastAsia="Times New Roman" w:hAnsi="Times New Roman" w:cs="Times New Roman"/>
          <w:color w:val="000000"/>
          <w:lang w:eastAsia="fr-FR"/>
        </w:rPr>
        <w:t>, Paris, Premier Parallèle.</w:t>
      </w:r>
    </w:p>
    <w:p w14:paraId="38E67F86"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Kahneman D. Diener E. &amp; Schwartz N. (1999), </w:t>
      </w:r>
      <w:r w:rsidRPr="000E33BF">
        <w:rPr>
          <w:rFonts w:ascii="Times New Roman" w:eastAsia="Times New Roman" w:hAnsi="Times New Roman" w:cs="Times New Roman"/>
          <w:i/>
          <w:iCs/>
          <w:color w:val="000000"/>
          <w:lang w:val="en-US" w:eastAsia="fr-FR"/>
        </w:rPr>
        <w:t>Well-being, The foundations of hedonic psychology</w:t>
      </w:r>
      <w:r w:rsidRPr="000E33BF">
        <w:rPr>
          <w:rFonts w:ascii="Times New Roman" w:eastAsia="Times New Roman" w:hAnsi="Times New Roman" w:cs="Times New Roman"/>
          <w:color w:val="000000"/>
          <w:lang w:val="en-US" w:eastAsia="fr-FR"/>
        </w:rPr>
        <w:t>, New York, Russel Sage Foundation.</w:t>
      </w:r>
    </w:p>
    <w:p w14:paraId="7DB708F9"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Kaur C. (2015), Quality of Work Life: A Key to Improve Organizational Performance </w:t>
      </w:r>
      <w:r w:rsidRPr="000E33BF">
        <w:rPr>
          <w:rFonts w:ascii="Times New Roman" w:eastAsia="Times New Roman" w:hAnsi="Times New Roman" w:cs="Times New Roman"/>
          <w:i/>
          <w:iCs/>
          <w:color w:val="000000"/>
          <w:lang w:val="en-US" w:eastAsia="fr-FR"/>
        </w:rPr>
        <w:t>International Journal in Management and Social Science</w:t>
      </w:r>
      <w:r w:rsidRPr="000E33BF">
        <w:rPr>
          <w:rFonts w:ascii="Times New Roman" w:eastAsia="Times New Roman" w:hAnsi="Times New Roman" w:cs="Times New Roman"/>
          <w:color w:val="000000"/>
          <w:lang w:val="en-US" w:eastAsia="fr-FR"/>
        </w:rPr>
        <w:t>, Vol. 3, n° 4, p. 211–219.</w:t>
      </w:r>
    </w:p>
    <w:p w14:paraId="71E03BBB"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Keith N., Leckie N., &amp; Pettman B.O. (1979), The Quality of Working Life. </w:t>
      </w:r>
      <w:r w:rsidRPr="000E33BF">
        <w:rPr>
          <w:rFonts w:ascii="Times New Roman" w:eastAsia="Times New Roman" w:hAnsi="Times New Roman" w:cs="Times New Roman"/>
          <w:i/>
          <w:iCs/>
          <w:color w:val="000000"/>
          <w:lang w:val="en-US" w:eastAsia="fr-FR"/>
        </w:rPr>
        <w:t>International Journal of Social Economics</w:t>
      </w:r>
      <w:r w:rsidRPr="000E33BF">
        <w:rPr>
          <w:rFonts w:ascii="Times New Roman" w:eastAsia="Times New Roman" w:hAnsi="Times New Roman" w:cs="Times New Roman"/>
          <w:color w:val="000000"/>
          <w:lang w:val="en-US" w:eastAsia="fr-FR"/>
        </w:rPr>
        <w:t>, 6, no. 4 , 197 – 234.</w:t>
      </w:r>
    </w:p>
    <w:p w14:paraId="426057C4"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val="en-US" w:eastAsia="fr-FR"/>
        </w:rPr>
        <w:t xml:space="preserve">Klitzman S. &amp; Stellman J.M. (1989), The impact of the physical environment on the psychological well-being of office workers. </w:t>
      </w:r>
      <w:r w:rsidRPr="000E33BF">
        <w:rPr>
          <w:rFonts w:ascii="Times New Roman" w:eastAsia="Times New Roman" w:hAnsi="Times New Roman" w:cs="Times New Roman"/>
          <w:i/>
          <w:iCs/>
          <w:color w:val="000000"/>
          <w:lang w:eastAsia="fr-FR"/>
        </w:rPr>
        <w:t>Social Science &amp; Medicine</w:t>
      </w:r>
      <w:r w:rsidRPr="000E33BF">
        <w:rPr>
          <w:rFonts w:ascii="Times New Roman" w:eastAsia="Times New Roman" w:hAnsi="Times New Roman" w:cs="Times New Roman"/>
          <w:color w:val="000000"/>
          <w:lang w:eastAsia="fr-FR"/>
        </w:rPr>
        <w:t>, Vol. 29, n° 6, p. 733–742.</w:t>
      </w:r>
    </w:p>
    <w:p w14:paraId="0513C429"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Lachmann H. Larose C. &amp; Penicaud M. (2010), </w:t>
      </w:r>
      <w:r w:rsidRPr="000E33BF">
        <w:rPr>
          <w:rFonts w:ascii="Times New Roman" w:eastAsia="Times New Roman" w:hAnsi="Times New Roman" w:cs="Times New Roman"/>
          <w:i/>
          <w:iCs/>
          <w:color w:val="000000"/>
          <w:lang w:eastAsia="fr-FR"/>
        </w:rPr>
        <w:t>Bien-être et efficacité au travail</w:t>
      </w:r>
      <w:r w:rsidRPr="000E33BF">
        <w:rPr>
          <w:rFonts w:ascii="Times New Roman" w:eastAsia="Times New Roman" w:hAnsi="Times New Roman" w:cs="Times New Roman"/>
          <w:color w:val="000000"/>
          <w:lang w:eastAsia="fr-FR"/>
        </w:rPr>
        <w:t xml:space="preserve">, </w:t>
      </w:r>
      <w:r w:rsidRPr="000E33BF">
        <w:rPr>
          <w:rFonts w:ascii="Times New Roman" w:eastAsia="Times New Roman" w:hAnsi="Times New Roman" w:cs="Times New Roman"/>
          <w:i/>
          <w:iCs/>
          <w:color w:val="000000"/>
          <w:lang w:eastAsia="fr-FR"/>
        </w:rPr>
        <w:t>Rapport fait à la demande du Premier Ministre</w:t>
      </w:r>
      <w:r w:rsidRPr="000E33BF">
        <w:rPr>
          <w:rFonts w:ascii="Times New Roman" w:eastAsia="Times New Roman" w:hAnsi="Times New Roman" w:cs="Times New Roman"/>
          <w:color w:val="000000"/>
          <w:lang w:eastAsia="fr-FR"/>
        </w:rPr>
        <w:t>Paris.</w:t>
      </w:r>
    </w:p>
    <w:p w14:paraId="62591715"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val="en-US" w:eastAsia="fr-FR"/>
        </w:rPr>
        <w:t>Lau, R. S., &amp; May, B. E. (1998). A win</w:t>
      </w:r>
      <w:r w:rsidRPr="000E33BF">
        <w:rPr>
          <w:rFonts w:ascii="Cambria Math" w:eastAsia="Times New Roman" w:hAnsi="Cambria Math" w:cs="Cambria Math"/>
          <w:color w:val="000000"/>
          <w:lang w:val="en-US" w:eastAsia="fr-FR"/>
        </w:rPr>
        <w:t>‐</w:t>
      </w:r>
      <w:r w:rsidRPr="000E33BF">
        <w:rPr>
          <w:rFonts w:ascii="Times New Roman" w:eastAsia="Times New Roman" w:hAnsi="Times New Roman" w:cs="Times New Roman"/>
          <w:color w:val="000000"/>
          <w:lang w:val="en-US" w:eastAsia="fr-FR"/>
        </w:rPr>
        <w:t xml:space="preserve">win paradigm for quality of work life and business performance. </w:t>
      </w:r>
      <w:r w:rsidRPr="000E33BF">
        <w:rPr>
          <w:rFonts w:ascii="Times New Roman" w:eastAsia="Times New Roman" w:hAnsi="Times New Roman" w:cs="Times New Roman"/>
          <w:i/>
          <w:iCs/>
          <w:color w:val="000000"/>
          <w:lang w:eastAsia="fr-FR"/>
        </w:rPr>
        <w:t>Human Resource Development Quarterly</w:t>
      </w:r>
      <w:r w:rsidRPr="000E33BF">
        <w:rPr>
          <w:rFonts w:ascii="Times New Roman" w:eastAsia="Times New Roman" w:hAnsi="Times New Roman" w:cs="Times New Roman"/>
          <w:color w:val="000000"/>
          <w:lang w:eastAsia="fr-FR"/>
        </w:rPr>
        <w:t>, Vol. 9, n°3, p. 211-226.</w:t>
      </w:r>
    </w:p>
    <w:p w14:paraId="0ED777B1"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Lecomte J. (2016), </w:t>
      </w:r>
      <w:r w:rsidRPr="000E33BF">
        <w:rPr>
          <w:rFonts w:ascii="Times New Roman" w:eastAsia="Times New Roman" w:hAnsi="Times New Roman" w:cs="Times New Roman"/>
          <w:i/>
          <w:iCs/>
          <w:color w:val="000000"/>
          <w:lang w:eastAsia="fr-FR"/>
        </w:rPr>
        <w:t>Les entreprises humanistes : Comment elles vont changer le monde</w:t>
      </w:r>
      <w:r w:rsidRPr="000E33BF">
        <w:rPr>
          <w:rFonts w:ascii="Times New Roman" w:eastAsia="Times New Roman" w:hAnsi="Times New Roman" w:cs="Times New Roman"/>
          <w:color w:val="000000"/>
          <w:lang w:eastAsia="fr-FR"/>
        </w:rPr>
        <w:t>, Paris, Editions des Arènes.</w:t>
      </w:r>
    </w:p>
    <w:p w14:paraId="7B178CD3"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Lorenz E. &amp; Valeyre A. (2005), Les formes d’organisation du travail dans les pays de l’Union européenne. </w:t>
      </w:r>
      <w:r w:rsidRPr="000E33BF">
        <w:rPr>
          <w:rFonts w:ascii="Times New Roman" w:eastAsia="Times New Roman" w:hAnsi="Times New Roman" w:cs="Times New Roman"/>
          <w:i/>
          <w:iCs/>
          <w:color w:val="000000"/>
          <w:lang w:eastAsia="fr-FR"/>
        </w:rPr>
        <w:t>Travail &amp; Emploi</w:t>
      </w:r>
      <w:r w:rsidRPr="000E33BF">
        <w:rPr>
          <w:rFonts w:ascii="Times New Roman" w:eastAsia="Times New Roman" w:hAnsi="Times New Roman" w:cs="Times New Roman"/>
          <w:color w:val="000000"/>
          <w:lang w:eastAsia="fr-FR"/>
        </w:rPr>
        <w:t>, Vol. 102, n° 1998, p. 91–105.</w:t>
      </w:r>
    </w:p>
    <w:p w14:paraId="51827E73" w14:textId="72994912" w:rsidR="0027107C" w:rsidRPr="000E33BF" w:rsidRDefault="0027107C" w:rsidP="007D330B">
      <w:pPr>
        <w:spacing w:before="120"/>
        <w:ind w:left="480" w:hanging="480"/>
        <w:jc w:val="both"/>
        <w:rPr>
          <w:rFonts w:ascii="Times New Roman" w:eastAsia="Times New Roman" w:hAnsi="Times New Roman" w:cs="Times New Roman"/>
          <w:color w:val="000000"/>
          <w:lang w:val="en-US" w:eastAsia="fr-FR"/>
        </w:rPr>
      </w:pPr>
      <w:r w:rsidRPr="004C2386">
        <w:rPr>
          <w:rFonts w:ascii="Times New Roman" w:eastAsia="Times New Roman" w:hAnsi="Times New Roman" w:cs="Times New Roman"/>
          <w:color w:val="000000"/>
          <w:lang w:val="en-US" w:eastAsia="fr-FR"/>
        </w:rPr>
        <w:t xml:space="preserve">Mirvis, P. H., &amp; Lawler III, E. E. (1984). </w:t>
      </w:r>
      <w:r w:rsidRPr="000E33BF">
        <w:rPr>
          <w:rFonts w:ascii="Times New Roman" w:eastAsia="Times New Roman" w:hAnsi="Times New Roman" w:cs="Times New Roman"/>
          <w:color w:val="000000"/>
          <w:lang w:val="en-US" w:eastAsia="fr-FR"/>
        </w:rPr>
        <w:t xml:space="preserve">Accounting for the quality of work life. </w:t>
      </w:r>
      <w:r w:rsidRPr="000E33BF">
        <w:rPr>
          <w:rFonts w:ascii="Times New Roman" w:eastAsia="Times New Roman" w:hAnsi="Times New Roman" w:cs="Times New Roman"/>
          <w:i/>
          <w:iCs/>
          <w:color w:val="000000"/>
          <w:lang w:val="en-US" w:eastAsia="fr-FR"/>
        </w:rPr>
        <w:t>Journal of Organizational Behavior</w:t>
      </w:r>
      <w:r w:rsidRPr="000E33BF">
        <w:rPr>
          <w:rFonts w:ascii="Times New Roman" w:eastAsia="Times New Roman" w:hAnsi="Times New Roman" w:cs="Times New Roman"/>
          <w:color w:val="000000"/>
          <w:lang w:val="en-US" w:eastAsia="fr-FR"/>
        </w:rPr>
        <w:t>, 5(3), 197-212.</w:t>
      </w:r>
    </w:p>
    <w:p w14:paraId="3D65BC84" w14:textId="77777777" w:rsidR="00AC4ECF" w:rsidRPr="000E33BF" w:rsidRDefault="00AC4ECF" w:rsidP="007D330B">
      <w:pPr>
        <w:spacing w:before="120"/>
        <w:ind w:left="480" w:hanging="480"/>
        <w:jc w:val="both"/>
        <w:rPr>
          <w:rFonts w:ascii="Times New Roman" w:eastAsia="Times New Roman" w:hAnsi="Times New Roman" w:cs="Times New Roman"/>
          <w:color w:val="000000"/>
          <w:lang w:eastAsia="fr-FR"/>
        </w:rPr>
      </w:pPr>
      <w:r w:rsidRPr="000E33BF">
        <w:rPr>
          <w:rFonts w:ascii="Times New Roman" w:eastAsia="Times New Roman" w:hAnsi="Times New Roman" w:cs="Times New Roman"/>
          <w:color w:val="000000"/>
          <w:lang w:val="en-US" w:eastAsia="fr-FR"/>
        </w:rPr>
        <w:t xml:space="preserve">Moynihan, D. P., &amp; Landuyt, N. (2009). How do public organizations learn? </w:t>
      </w:r>
      <w:r w:rsidRPr="000E33BF">
        <w:rPr>
          <w:rFonts w:ascii="Times New Roman" w:eastAsia="Times New Roman" w:hAnsi="Times New Roman" w:cs="Times New Roman"/>
          <w:color w:val="000000"/>
          <w:lang w:eastAsia="fr-FR"/>
        </w:rPr>
        <w:t xml:space="preserve">Bridging cultural and structural perspectives. </w:t>
      </w:r>
      <w:r w:rsidRPr="000E33BF">
        <w:rPr>
          <w:rFonts w:ascii="Times New Roman" w:eastAsia="Times New Roman" w:hAnsi="Times New Roman" w:cs="Times New Roman"/>
          <w:i/>
          <w:color w:val="000000"/>
          <w:lang w:eastAsia="fr-FR"/>
        </w:rPr>
        <w:t>Public Administration Review</w:t>
      </w:r>
      <w:r w:rsidRPr="000E33BF">
        <w:rPr>
          <w:rFonts w:ascii="Times New Roman" w:eastAsia="Times New Roman" w:hAnsi="Times New Roman" w:cs="Times New Roman"/>
          <w:color w:val="000000"/>
          <w:lang w:eastAsia="fr-FR"/>
        </w:rPr>
        <w:t>, 69(6), 1097-1105.</w:t>
      </w:r>
    </w:p>
    <w:p w14:paraId="1639EF1A" w14:textId="0A88CE79"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Neveu, J.P. (2012), chapitre 6 “pour repenser la relation travail-santé psychologique : la théorie de la préservation des ressources », </w:t>
      </w:r>
      <w:r w:rsidRPr="000E33BF">
        <w:rPr>
          <w:rFonts w:ascii="Times New Roman" w:eastAsia="Times New Roman" w:hAnsi="Times New Roman" w:cs="Times New Roman"/>
          <w:i/>
          <w:iCs/>
          <w:color w:val="000000"/>
          <w:lang w:eastAsia="fr-FR"/>
        </w:rPr>
        <w:t>in</w:t>
      </w:r>
      <w:r w:rsidRPr="000E33BF">
        <w:rPr>
          <w:rFonts w:ascii="Times New Roman" w:eastAsia="Times New Roman" w:hAnsi="Times New Roman" w:cs="Times New Roman"/>
          <w:color w:val="000000"/>
          <w:lang w:eastAsia="fr-FR"/>
        </w:rPr>
        <w:t xml:space="preserve"> Abord de Chatillon E., Bachelard O. &amp; Carpentier S. (2012) (dir.), </w:t>
      </w:r>
      <w:r w:rsidRPr="000E33BF">
        <w:rPr>
          <w:rFonts w:ascii="Times New Roman" w:eastAsia="Times New Roman" w:hAnsi="Times New Roman" w:cs="Times New Roman"/>
          <w:i/>
          <w:iCs/>
          <w:color w:val="000000"/>
          <w:lang w:eastAsia="fr-FR"/>
        </w:rPr>
        <w:t xml:space="preserve">Risques psychosociaux, santé et sécurité au travail : une perspective managériale, </w:t>
      </w:r>
      <w:r w:rsidRPr="000E33BF">
        <w:rPr>
          <w:rFonts w:ascii="Times New Roman" w:eastAsia="Times New Roman" w:hAnsi="Times New Roman" w:cs="Times New Roman"/>
          <w:color w:val="000000"/>
          <w:lang w:eastAsia="fr-FR"/>
        </w:rPr>
        <w:t>Paris, Vuibert, pp. 79-87.</w:t>
      </w:r>
    </w:p>
    <w:p w14:paraId="47966C72"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Newton K. Leckie N. &amp; Pettman B.O. (1979), The Quality of Working Life </w:t>
      </w:r>
      <w:r w:rsidRPr="000E33BF">
        <w:rPr>
          <w:rFonts w:ascii="Times New Roman" w:eastAsia="Times New Roman" w:hAnsi="Times New Roman" w:cs="Times New Roman"/>
          <w:i/>
          <w:iCs/>
          <w:color w:val="000000"/>
          <w:lang w:val="en-US" w:eastAsia="fr-FR"/>
        </w:rPr>
        <w:t>International Journal of Social Economics</w:t>
      </w:r>
      <w:r w:rsidRPr="000E33BF">
        <w:rPr>
          <w:rFonts w:ascii="Times New Roman" w:eastAsia="Times New Roman" w:hAnsi="Times New Roman" w:cs="Times New Roman"/>
          <w:color w:val="000000"/>
          <w:lang w:val="en-US" w:eastAsia="fr-FR"/>
        </w:rPr>
        <w:t>, Vol. 6, n° 4, p. 197–234.</w:t>
      </w:r>
    </w:p>
    <w:p w14:paraId="70CB2D80"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Oswald A.J. Proto E. &amp; Sgroi D. (2015), Happiness and Productivity </w:t>
      </w:r>
      <w:r w:rsidRPr="000E33BF">
        <w:rPr>
          <w:rFonts w:ascii="Times New Roman" w:eastAsia="Times New Roman" w:hAnsi="Times New Roman" w:cs="Times New Roman"/>
          <w:i/>
          <w:iCs/>
          <w:color w:val="000000"/>
          <w:lang w:val="en-US" w:eastAsia="fr-FR"/>
        </w:rPr>
        <w:t>Journal of Labor Economics</w:t>
      </w:r>
      <w:r w:rsidRPr="000E33BF">
        <w:rPr>
          <w:rFonts w:ascii="Times New Roman" w:eastAsia="Times New Roman" w:hAnsi="Times New Roman" w:cs="Times New Roman"/>
          <w:color w:val="000000"/>
          <w:lang w:val="en-US" w:eastAsia="fr-FR"/>
        </w:rPr>
        <w:t>, Vol. 33, n° 4, p. 789–822.</w:t>
      </w:r>
    </w:p>
    <w:p w14:paraId="3D9D6A68"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Richard D. (2012), </w:t>
      </w:r>
      <w:r w:rsidRPr="000E33BF">
        <w:rPr>
          <w:rFonts w:ascii="Times New Roman" w:eastAsia="Times New Roman" w:hAnsi="Times New Roman" w:cs="Times New Roman"/>
          <w:i/>
          <w:iCs/>
          <w:color w:val="000000"/>
          <w:lang w:eastAsia="fr-FR"/>
        </w:rPr>
        <w:t>Management des risques psychosociaux : une perspective en termes de bien-être au travail et de valorisation des espaces de discussion</w:t>
      </w:r>
      <w:r w:rsidRPr="000E33BF">
        <w:rPr>
          <w:rFonts w:ascii="Times New Roman" w:eastAsia="Times New Roman" w:hAnsi="Times New Roman" w:cs="Times New Roman"/>
          <w:color w:val="000000"/>
          <w:lang w:eastAsia="fr-FR"/>
        </w:rPr>
        <w:t>, Université de Grenoble.</w:t>
      </w:r>
    </w:p>
    <w:p w14:paraId="5B07E8A1"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val="en-US" w:eastAsia="fr-FR"/>
        </w:rPr>
        <w:t xml:space="preserve">Robbins, S. P. (1989), </w:t>
      </w:r>
      <w:r w:rsidRPr="000E33BF">
        <w:rPr>
          <w:rFonts w:ascii="Times New Roman" w:eastAsia="Times New Roman" w:hAnsi="Times New Roman" w:cs="Times New Roman"/>
          <w:i/>
          <w:iCs/>
          <w:color w:val="000000"/>
          <w:lang w:val="en-US" w:eastAsia="fr-FR"/>
        </w:rPr>
        <w:t>Organizational behavior: Concepts, controversies, and applications</w:t>
      </w:r>
      <w:r w:rsidRPr="000E33BF">
        <w:rPr>
          <w:rFonts w:ascii="Times New Roman" w:eastAsia="Times New Roman" w:hAnsi="Times New Roman" w:cs="Times New Roman"/>
          <w:color w:val="000000"/>
          <w:lang w:val="en-US" w:eastAsia="fr-FR"/>
        </w:rPr>
        <w:t xml:space="preserve">. </w:t>
      </w:r>
      <w:r w:rsidRPr="000E33BF">
        <w:rPr>
          <w:rFonts w:ascii="Times New Roman" w:eastAsia="Times New Roman" w:hAnsi="Times New Roman" w:cs="Times New Roman"/>
          <w:color w:val="000000"/>
          <w:lang w:eastAsia="fr-FR"/>
        </w:rPr>
        <w:t>Englewood Cliffs, NJ: Prentice Hall.</w:t>
      </w:r>
    </w:p>
    <w:p w14:paraId="597441F4"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lastRenderedPageBreak/>
        <w:t xml:space="preserve">Rioux L. Le Roy J. Rubens L. &amp; Le Conte J. (2013), </w:t>
      </w:r>
      <w:r w:rsidRPr="000E33BF">
        <w:rPr>
          <w:rFonts w:ascii="Times New Roman" w:eastAsia="Times New Roman" w:hAnsi="Times New Roman" w:cs="Times New Roman"/>
          <w:i/>
          <w:iCs/>
          <w:color w:val="000000"/>
          <w:lang w:eastAsia="fr-FR"/>
        </w:rPr>
        <w:t>Le confort au travail</w:t>
      </w:r>
      <w:r w:rsidRPr="000E33BF">
        <w:rPr>
          <w:rFonts w:ascii="Times New Roman" w:eastAsia="Times New Roman" w:hAnsi="Times New Roman" w:cs="Times New Roman"/>
          <w:color w:val="000000"/>
          <w:lang w:eastAsia="fr-FR"/>
        </w:rPr>
        <w:t>, Laval, Presses Universitaires de Laval.</w:t>
      </w:r>
    </w:p>
    <w:p w14:paraId="5C1302D5"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Ryan R.M. &amp; Deci E.L. (2001), On Happiness and Human Potentials : A Review of Research on Hedonic and Eudaimonic Well-Being </w:t>
      </w:r>
      <w:r w:rsidRPr="000E33BF">
        <w:rPr>
          <w:rFonts w:ascii="Times New Roman" w:eastAsia="Times New Roman" w:hAnsi="Times New Roman" w:cs="Times New Roman"/>
          <w:i/>
          <w:iCs/>
          <w:color w:val="000000"/>
          <w:lang w:val="en-US" w:eastAsia="fr-FR"/>
        </w:rPr>
        <w:t>Annual Review of Psychology</w:t>
      </w:r>
      <w:r w:rsidRPr="000E33BF">
        <w:rPr>
          <w:rFonts w:ascii="Times New Roman" w:eastAsia="Times New Roman" w:hAnsi="Times New Roman" w:cs="Times New Roman"/>
          <w:color w:val="000000"/>
          <w:lang w:val="en-US" w:eastAsia="fr-FR"/>
        </w:rPr>
        <w:t>, Vol. 52, n° 1, p. 141–166.</w:t>
      </w:r>
    </w:p>
    <w:p w14:paraId="6060935F"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Seligman M.E. (2004), </w:t>
      </w:r>
      <w:r w:rsidRPr="000E33BF">
        <w:rPr>
          <w:rFonts w:ascii="Times New Roman" w:eastAsia="Times New Roman" w:hAnsi="Times New Roman" w:cs="Times New Roman"/>
          <w:i/>
          <w:iCs/>
          <w:color w:val="000000"/>
          <w:lang w:val="en-US" w:eastAsia="fr-FR"/>
        </w:rPr>
        <w:t>Authentic happiness: Using the new positive psychology to realize your potential for lasting fulfillment</w:t>
      </w:r>
      <w:r w:rsidRPr="000E33BF">
        <w:rPr>
          <w:rFonts w:ascii="Times New Roman" w:eastAsia="Times New Roman" w:hAnsi="Times New Roman" w:cs="Times New Roman"/>
          <w:color w:val="000000"/>
          <w:lang w:val="en-US" w:eastAsia="fr-FR"/>
        </w:rPr>
        <w:t>, Simon and Schuster.</w:t>
      </w:r>
    </w:p>
    <w:p w14:paraId="74029639"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Seligman M.E.P. &amp; Csikszentmihalyi M. (2000), Special issue on happiness, excellence, and optimal human functioning, </w:t>
      </w:r>
      <w:r w:rsidRPr="000E33BF">
        <w:rPr>
          <w:rFonts w:ascii="Times New Roman" w:eastAsia="Times New Roman" w:hAnsi="Times New Roman" w:cs="Times New Roman"/>
          <w:i/>
          <w:iCs/>
          <w:color w:val="000000"/>
          <w:lang w:val="en-US" w:eastAsia="fr-FR"/>
        </w:rPr>
        <w:t>American Psychologist</w:t>
      </w:r>
      <w:r w:rsidRPr="000E33BF">
        <w:rPr>
          <w:rFonts w:ascii="Times New Roman" w:eastAsia="Times New Roman" w:hAnsi="Times New Roman" w:cs="Times New Roman"/>
          <w:color w:val="000000"/>
          <w:lang w:val="en-US" w:eastAsia="fr-FR"/>
        </w:rPr>
        <w:t>, Vol. 55, n° 1, p. 5–183.</w:t>
      </w:r>
    </w:p>
    <w:p w14:paraId="224A0C6F"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Shen J. Benson J. &amp; Huang B. (2014), High-Performance Work Systems and Teachers’ Work Performance: The Mediating Role of Quality of Working Life </w:t>
      </w:r>
      <w:r w:rsidRPr="000E33BF">
        <w:rPr>
          <w:rFonts w:ascii="Times New Roman" w:eastAsia="Times New Roman" w:hAnsi="Times New Roman" w:cs="Times New Roman"/>
          <w:i/>
          <w:iCs/>
          <w:color w:val="000000"/>
          <w:lang w:val="en-US" w:eastAsia="fr-FR"/>
        </w:rPr>
        <w:t>Human Resource Management</w:t>
      </w:r>
      <w:r w:rsidRPr="000E33BF">
        <w:rPr>
          <w:rFonts w:ascii="Times New Roman" w:eastAsia="Times New Roman" w:hAnsi="Times New Roman" w:cs="Times New Roman"/>
          <w:color w:val="000000"/>
          <w:lang w:val="en-US" w:eastAsia="fr-FR"/>
        </w:rPr>
        <w:t>, Vol. 53, n° 5, p. 817–833.</w:t>
      </w:r>
    </w:p>
    <w:p w14:paraId="5C53C16B" w14:textId="728E66EB"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Taylor, J. C. (1974), </w:t>
      </w:r>
      <w:r w:rsidRPr="000E33BF">
        <w:rPr>
          <w:rFonts w:ascii="Times New Roman" w:eastAsia="Times New Roman" w:hAnsi="Times New Roman" w:cs="Times New Roman"/>
          <w:i/>
          <w:iCs/>
          <w:color w:val="000000"/>
          <w:lang w:val="en-US" w:eastAsia="fr-FR"/>
        </w:rPr>
        <w:t>Concepts and Problems in Studies of the Quality of Work Life</w:t>
      </w:r>
      <w:r w:rsidRPr="000E33BF">
        <w:rPr>
          <w:rFonts w:ascii="Times New Roman" w:eastAsia="Times New Roman" w:hAnsi="Times New Roman" w:cs="Times New Roman"/>
          <w:color w:val="000000"/>
          <w:lang w:val="en-US" w:eastAsia="fr-FR"/>
        </w:rPr>
        <w:t>, University of California, Graduate School of Management, Los Angeles.</w:t>
      </w:r>
    </w:p>
    <w:p w14:paraId="142FFD77" w14:textId="77777777" w:rsidR="0027107C" w:rsidRPr="000E33BF" w:rsidRDefault="0027107C" w:rsidP="007D330B">
      <w:pPr>
        <w:spacing w:before="120"/>
        <w:jc w:val="both"/>
        <w:rPr>
          <w:rFonts w:ascii="Times New Roman" w:eastAsia="Times New Roman" w:hAnsi="Times New Roman" w:cs="Times New Roman"/>
          <w:lang w:val="en-US" w:eastAsia="fr-FR"/>
        </w:rPr>
      </w:pPr>
    </w:p>
    <w:p w14:paraId="101B7EAC" w14:textId="77777777" w:rsidR="0027107C" w:rsidRPr="000E33BF" w:rsidRDefault="0027107C" w:rsidP="007D330B">
      <w:pPr>
        <w:spacing w:before="120"/>
        <w:ind w:left="480" w:hanging="480"/>
        <w:jc w:val="both"/>
        <w:rPr>
          <w:rFonts w:ascii="Times New Roman" w:eastAsia="Times New Roman" w:hAnsi="Times New Roman" w:cs="Times New Roman"/>
          <w:lang w:eastAsia="fr-FR"/>
        </w:rPr>
      </w:pPr>
      <w:r w:rsidRPr="000E33BF">
        <w:rPr>
          <w:rFonts w:ascii="Times New Roman" w:eastAsia="Times New Roman" w:hAnsi="Times New Roman" w:cs="Times New Roman"/>
          <w:color w:val="000000"/>
          <w:lang w:eastAsia="fr-FR"/>
        </w:rPr>
        <w:t xml:space="preserve">Thévenet M. (2008), </w:t>
      </w:r>
      <w:r w:rsidRPr="000E33BF">
        <w:rPr>
          <w:rFonts w:ascii="Times New Roman" w:eastAsia="Times New Roman" w:hAnsi="Times New Roman" w:cs="Times New Roman"/>
          <w:i/>
          <w:iCs/>
          <w:color w:val="000000"/>
          <w:lang w:eastAsia="fr-FR"/>
        </w:rPr>
        <w:t>Le bonheur est dans l’équipe</w:t>
      </w:r>
      <w:r w:rsidRPr="000E33BF">
        <w:rPr>
          <w:rFonts w:ascii="Times New Roman" w:eastAsia="Times New Roman" w:hAnsi="Times New Roman" w:cs="Times New Roman"/>
          <w:color w:val="000000"/>
          <w:lang w:eastAsia="fr-FR"/>
        </w:rPr>
        <w:t>, Paris, Eyrolles Editions d’Organisation.</w:t>
      </w:r>
    </w:p>
    <w:p w14:paraId="09D7480E"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Walton R.E. (1973), Quality of Working Life: What is it?, </w:t>
      </w:r>
      <w:r w:rsidRPr="000E33BF">
        <w:rPr>
          <w:rFonts w:ascii="Times New Roman" w:eastAsia="Times New Roman" w:hAnsi="Times New Roman" w:cs="Times New Roman"/>
          <w:i/>
          <w:iCs/>
          <w:color w:val="000000"/>
          <w:lang w:val="en-US" w:eastAsia="fr-FR"/>
        </w:rPr>
        <w:t>Sloan Management Review</w:t>
      </w:r>
      <w:r w:rsidRPr="000E33BF">
        <w:rPr>
          <w:rFonts w:ascii="Times New Roman" w:eastAsia="Times New Roman" w:hAnsi="Times New Roman" w:cs="Times New Roman"/>
          <w:color w:val="000000"/>
          <w:lang w:val="en-US" w:eastAsia="fr-FR"/>
        </w:rPr>
        <w:t>, Vol. 15, n° 1, p. 11–21.</w:t>
      </w:r>
    </w:p>
    <w:p w14:paraId="22F40413"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Warr, P.B. (2005). Work, Well-Being, and Mental Health, in J.Barling, E.K. Kelloway and M.R. Frome . </w:t>
      </w:r>
      <w:r w:rsidRPr="000E33BF">
        <w:rPr>
          <w:rFonts w:ascii="Times New Roman" w:eastAsia="Times New Roman" w:hAnsi="Times New Roman" w:cs="Times New Roman"/>
          <w:i/>
          <w:iCs/>
          <w:color w:val="000000"/>
          <w:lang w:val="en-US" w:eastAsia="fr-FR"/>
        </w:rPr>
        <w:t>Handbook of Work Stress</w:t>
      </w:r>
      <w:r w:rsidRPr="000E33BF">
        <w:rPr>
          <w:rFonts w:ascii="Times New Roman" w:eastAsia="Times New Roman" w:hAnsi="Times New Roman" w:cs="Times New Roman"/>
          <w:color w:val="000000"/>
          <w:lang w:val="en-US" w:eastAsia="fr-FR"/>
        </w:rPr>
        <w:t>. Thousand Oaks: Sage Publications, 547-573.</w:t>
      </w:r>
    </w:p>
    <w:p w14:paraId="064D0F38"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Westley, W. A. (1979). Problems and solutions in the quality of working life. </w:t>
      </w:r>
      <w:r w:rsidRPr="000E33BF">
        <w:rPr>
          <w:rFonts w:ascii="Times New Roman" w:eastAsia="Times New Roman" w:hAnsi="Times New Roman" w:cs="Times New Roman"/>
          <w:i/>
          <w:iCs/>
          <w:color w:val="000000"/>
          <w:lang w:val="en-US" w:eastAsia="fr-FR"/>
        </w:rPr>
        <w:t>Human relations</w:t>
      </w:r>
      <w:r w:rsidRPr="000E33BF">
        <w:rPr>
          <w:rFonts w:ascii="Times New Roman" w:eastAsia="Times New Roman" w:hAnsi="Times New Roman" w:cs="Times New Roman"/>
          <w:color w:val="000000"/>
          <w:lang w:val="en-US" w:eastAsia="fr-FR"/>
        </w:rPr>
        <w:t>, Vol. 32, n°2, 113-123.</w:t>
      </w:r>
    </w:p>
    <w:p w14:paraId="554D814D"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Wright T.A. &amp; Cropanzano R. (2000), Psychological well-being and job satisfaction as predictors of job performance </w:t>
      </w:r>
      <w:r w:rsidRPr="000E33BF">
        <w:rPr>
          <w:rFonts w:ascii="Times New Roman" w:eastAsia="Times New Roman" w:hAnsi="Times New Roman" w:cs="Times New Roman"/>
          <w:i/>
          <w:iCs/>
          <w:color w:val="000000"/>
          <w:lang w:val="en-US" w:eastAsia="fr-FR"/>
        </w:rPr>
        <w:t>Journal of Occupational Health Psychology</w:t>
      </w:r>
      <w:r w:rsidRPr="000E33BF">
        <w:rPr>
          <w:rFonts w:ascii="Times New Roman" w:eastAsia="Times New Roman" w:hAnsi="Times New Roman" w:cs="Times New Roman"/>
          <w:color w:val="000000"/>
          <w:lang w:val="en-US" w:eastAsia="fr-FR"/>
        </w:rPr>
        <w:t>, Vol. 5, n° 1, p. 84–94.</w:t>
      </w:r>
    </w:p>
    <w:p w14:paraId="19665C63"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Wright, T.A. &amp; Cropanzano, R. (2004). The Role of Psychological Well-Being in Job Performance: A Fresh Look at an Age-Old Quest. </w:t>
      </w:r>
      <w:r w:rsidRPr="000E33BF">
        <w:rPr>
          <w:rFonts w:ascii="Times New Roman" w:eastAsia="Times New Roman" w:hAnsi="Times New Roman" w:cs="Times New Roman"/>
          <w:i/>
          <w:iCs/>
          <w:color w:val="000000"/>
          <w:lang w:val="en-US" w:eastAsia="fr-FR"/>
        </w:rPr>
        <w:t>Organizational Dynamics</w:t>
      </w:r>
      <w:r w:rsidRPr="000E33BF">
        <w:rPr>
          <w:rFonts w:ascii="Times New Roman" w:eastAsia="Times New Roman" w:hAnsi="Times New Roman" w:cs="Times New Roman"/>
          <w:color w:val="000000"/>
          <w:lang w:val="en-US" w:eastAsia="fr-FR"/>
        </w:rPr>
        <w:t>, Vol. 33, No 4, pp 338-351.</w:t>
      </w:r>
    </w:p>
    <w:p w14:paraId="06F30DA5"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Wright T.A. Cropanzano R. &amp; Bonett D.G. (2007), The moderating role of employee positive well being on the relation between job satisfaction and job performance. </w:t>
      </w:r>
      <w:r w:rsidRPr="000E33BF">
        <w:rPr>
          <w:rFonts w:ascii="Times New Roman" w:eastAsia="Times New Roman" w:hAnsi="Times New Roman" w:cs="Times New Roman"/>
          <w:i/>
          <w:iCs/>
          <w:color w:val="000000"/>
          <w:lang w:val="en-US" w:eastAsia="fr-FR"/>
        </w:rPr>
        <w:t>Journal of Occupational Health Psychology</w:t>
      </w:r>
      <w:r w:rsidRPr="000E33BF">
        <w:rPr>
          <w:rFonts w:ascii="Times New Roman" w:eastAsia="Times New Roman" w:hAnsi="Times New Roman" w:cs="Times New Roman"/>
          <w:color w:val="000000"/>
          <w:lang w:val="en-US" w:eastAsia="fr-FR"/>
        </w:rPr>
        <w:t>, Vol. 12, n° 2, p. 93–104.</w:t>
      </w:r>
    </w:p>
    <w:p w14:paraId="355F37F4"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Wyatt, T. A. &amp; Wah, C. Y. (2001). Perceptions of QWL: A study of Singaporean Employees Development, </w:t>
      </w:r>
      <w:r w:rsidRPr="000E33BF">
        <w:rPr>
          <w:rFonts w:ascii="Times New Roman" w:eastAsia="Times New Roman" w:hAnsi="Times New Roman" w:cs="Times New Roman"/>
          <w:i/>
          <w:iCs/>
          <w:color w:val="000000"/>
          <w:lang w:val="en-US" w:eastAsia="fr-FR"/>
        </w:rPr>
        <w:t>Research and Practice in Human Resource Management</w:t>
      </w:r>
      <w:r w:rsidRPr="000E33BF">
        <w:rPr>
          <w:rFonts w:ascii="Times New Roman" w:eastAsia="Times New Roman" w:hAnsi="Times New Roman" w:cs="Times New Roman"/>
          <w:color w:val="000000"/>
          <w:lang w:val="en-US" w:eastAsia="fr-FR"/>
        </w:rPr>
        <w:t>, 9(2), 59-76.</w:t>
      </w:r>
    </w:p>
    <w:p w14:paraId="20F24A48" w14:textId="77777777" w:rsidR="0027107C" w:rsidRPr="000E33BF" w:rsidRDefault="0027107C" w:rsidP="007D330B">
      <w:pPr>
        <w:spacing w:before="120"/>
        <w:ind w:left="480" w:hanging="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Yadav R. &amp; Khanna A. (2014), Literature Review on Quality of Work Life and Their Dimensions </w:t>
      </w:r>
      <w:r w:rsidRPr="000E33BF">
        <w:rPr>
          <w:rFonts w:ascii="Times New Roman" w:eastAsia="Times New Roman" w:hAnsi="Times New Roman" w:cs="Times New Roman"/>
          <w:i/>
          <w:iCs/>
          <w:color w:val="000000"/>
          <w:lang w:val="en-US" w:eastAsia="fr-FR"/>
        </w:rPr>
        <w:t xml:space="preserve">Journal Of Humanities And Social Science </w:t>
      </w:r>
      <w:r w:rsidRPr="000E33BF">
        <w:rPr>
          <w:rFonts w:ascii="Times New Roman" w:eastAsia="Times New Roman" w:hAnsi="Times New Roman" w:cs="Times New Roman"/>
          <w:color w:val="000000"/>
          <w:lang w:val="en-US" w:eastAsia="fr-FR"/>
        </w:rPr>
        <w:t xml:space="preserve">, Vol. 19, n° 9, p. 71–80. </w:t>
      </w:r>
    </w:p>
    <w:p w14:paraId="6BE35CD6" w14:textId="09177DA7" w:rsidR="00F05D56" w:rsidRPr="000E33BF" w:rsidRDefault="0027107C" w:rsidP="007D330B">
      <w:pPr>
        <w:spacing w:before="120"/>
        <w:ind w:left="480"/>
        <w:jc w:val="both"/>
        <w:rPr>
          <w:rFonts w:ascii="Times New Roman" w:eastAsia="Times New Roman" w:hAnsi="Times New Roman" w:cs="Times New Roman"/>
          <w:lang w:val="en-US" w:eastAsia="fr-FR"/>
        </w:rPr>
      </w:pPr>
      <w:r w:rsidRPr="000E33BF">
        <w:rPr>
          <w:rFonts w:ascii="Times New Roman" w:eastAsia="Times New Roman" w:hAnsi="Times New Roman" w:cs="Times New Roman"/>
          <w:color w:val="000000"/>
          <w:lang w:val="en-US" w:eastAsia="fr-FR"/>
        </w:rPr>
        <w:t xml:space="preserve">Zelenski J.M. Murphy S.A. &amp; Jenkins D.A. (2008), The happy-productive worker thesis revisited </w:t>
      </w:r>
      <w:r w:rsidRPr="000E33BF">
        <w:rPr>
          <w:rFonts w:ascii="Times New Roman" w:eastAsia="Times New Roman" w:hAnsi="Times New Roman" w:cs="Times New Roman"/>
          <w:i/>
          <w:iCs/>
          <w:color w:val="000000"/>
          <w:lang w:val="en-US" w:eastAsia="fr-FR"/>
        </w:rPr>
        <w:t>Journal of Happiness Studies</w:t>
      </w:r>
      <w:r w:rsidRPr="000E33BF">
        <w:rPr>
          <w:rFonts w:ascii="Times New Roman" w:eastAsia="Times New Roman" w:hAnsi="Times New Roman" w:cs="Times New Roman"/>
          <w:color w:val="000000"/>
          <w:lang w:val="en-US" w:eastAsia="fr-FR"/>
        </w:rPr>
        <w:t>, Vol. 9, n° 4, p. 521–537.</w:t>
      </w:r>
    </w:p>
    <w:sectPr w:rsidR="00F05D56" w:rsidRPr="000E33BF" w:rsidSect="00315453">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4446E" w14:textId="77777777" w:rsidR="00F36ADB" w:rsidRDefault="00F36ADB" w:rsidP="0027107C">
      <w:r>
        <w:separator/>
      </w:r>
    </w:p>
    <w:p w14:paraId="1AE1FC51" w14:textId="77777777" w:rsidR="00F36ADB" w:rsidRDefault="00F36ADB"/>
  </w:endnote>
  <w:endnote w:type="continuationSeparator" w:id="0">
    <w:p w14:paraId="19FB2384" w14:textId="77777777" w:rsidR="00F36ADB" w:rsidRDefault="00F36ADB" w:rsidP="0027107C">
      <w:r>
        <w:continuationSeparator/>
      </w:r>
    </w:p>
    <w:p w14:paraId="528E301B" w14:textId="77777777" w:rsidR="00F36ADB" w:rsidRDefault="00F36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2027378"/>
      <w:docPartObj>
        <w:docPartGallery w:val="Page Numbers (Bottom of Page)"/>
        <w:docPartUnique/>
      </w:docPartObj>
    </w:sdtPr>
    <w:sdtEndPr>
      <w:rPr>
        <w:rStyle w:val="Numrodepage"/>
      </w:rPr>
    </w:sdtEndPr>
    <w:sdtContent>
      <w:p w14:paraId="72DE53FE" w14:textId="77777777" w:rsidR="004B1ECD" w:rsidRDefault="004B1ECD" w:rsidP="00F05D5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6493AC6" w14:textId="77777777" w:rsidR="004B1ECD" w:rsidRDefault="004B1ECD" w:rsidP="0027107C">
    <w:pPr>
      <w:pStyle w:val="Pieddepage"/>
      <w:ind w:right="360"/>
    </w:pPr>
  </w:p>
  <w:p w14:paraId="4E240FF1" w14:textId="77777777" w:rsidR="004B1ECD" w:rsidRDefault="004B1E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06199706"/>
      <w:docPartObj>
        <w:docPartGallery w:val="Page Numbers (Bottom of Page)"/>
        <w:docPartUnique/>
      </w:docPartObj>
    </w:sdtPr>
    <w:sdtEndPr>
      <w:rPr>
        <w:rStyle w:val="Numrodepage"/>
      </w:rPr>
    </w:sdtEndPr>
    <w:sdtContent>
      <w:p w14:paraId="5D6940B9" w14:textId="77777777" w:rsidR="004B1ECD" w:rsidRDefault="004B1ECD" w:rsidP="00F05D5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700D2">
          <w:rPr>
            <w:rStyle w:val="Numrodepage"/>
            <w:noProof/>
          </w:rPr>
          <w:t>2</w:t>
        </w:r>
        <w:r>
          <w:rPr>
            <w:rStyle w:val="Numrodepage"/>
          </w:rPr>
          <w:fldChar w:fldCharType="end"/>
        </w:r>
      </w:p>
    </w:sdtContent>
  </w:sdt>
  <w:p w14:paraId="29E4D3CC" w14:textId="77777777" w:rsidR="004B1ECD" w:rsidRDefault="004B1ECD" w:rsidP="0027107C">
    <w:pPr>
      <w:pStyle w:val="Pieddepage"/>
      <w:ind w:right="360"/>
    </w:pPr>
  </w:p>
  <w:p w14:paraId="436517C3" w14:textId="77777777" w:rsidR="004B1ECD" w:rsidRDefault="004B1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6FB0" w14:textId="77777777" w:rsidR="00F36ADB" w:rsidRDefault="00F36ADB" w:rsidP="0027107C">
      <w:r>
        <w:separator/>
      </w:r>
    </w:p>
    <w:p w14:paraId="60FE8F06" w14:textId="77777777" w:rsidR="00F36ADB" w:rsidRDefault="00F36ADB"/>
  </w:footnote>
  <w:footnote w:type="continuationSeparator" w:id="0">
    <w:p w14:paraId="435968D7" w14:textId="77777777" w:rsidR="00F36ADB" w:rsidRDefault="00F36ADB" w:rsidP="0027107C">
      <w:r>
        <w:continuationSeparator/>
      </w:r>
    </w:p>
    <w:p w14:paraId="5817D992" w14:textId="77777777" w:rsidR="00F36ADB" w:rsidRDefault="00F36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63456"/>
    <w:multiLevelType w:val="hybridMultilevel"/>
    <w:tmpl w:val="2062B0F8"/>
    <w:lvl w:ilvl="0" w:tplc="E2E2BB0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2943FC"/>
    <w:multiLevelType w:val="multilevel"/>
    <w:tmpl w:val="B0F8876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8E377F"/>
    <w:multiLevelType w:val="hybridMultilevel"/>
    <w:tmpl w:val="89BA3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2AF4760"/>
    <w:multiLevelType w:val="hybridMultilevel"/>
    <w:tmpl w:val="5DF879FE"/>
    <w:lvl w:ilvl="0" w:tplc="8E46A7F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394E1C"/>
    <w:multiLevelType w:val="multilevel"/>
    <w:tmpl w:val="2ADA56DC"/>
    <w:lvl w:ilvl="0">
      <w:start w:val="1"/>
      <w:numFmt w:val="decimal"/>
      <w:lvlText w:val="%1."/>
      <w:lvlJc w:val="left"/>
      <w:pPr>
        <w:ind w:left="720" w:hanging="360"/>
      </w:pPr>
      <w:rPr>
        <w:rFonts w:hint="default"/>
        <w:b/>
        <w:color w:val="000000"/>
        <w:sz w:val="28"/>
        <w:szCs w:val="28"/>
      </w:rPr>
    </w:lvl>
    <w:lvl w:ilvl="1">
      <w:start w:val="1"/>
      <w:numFmt w:val="decimal"/>
      <w:isLgl/>
      <w:lvlText w:val="%1.%2"/>
      <w:lvlJc w:val="left"/>
      <w:pPr>
        <w:ind w:left="1080" w:hanging="360"/>
      </w:pPr>
      <w:rPr>
        <w:rFonts w:hint="default"/>
        <w:b/>
        <w:color w:val="000000"/>
        <w:sz w:val="22"/>
      </w:rPr>
    </w:lvl>
    <w:lvl w:ilvl="2">
      <w:start w:val="1"/>
      <w:numFmt w:val="decimal"/>
      <w:isLgl/>
      <w:lvlText w:val="%1.%2.%3"/>
      <w:lvlJc w:val="left"/>
      <w:pPr>
        <w:ind w:left="1800" w:hanging="720"/>
      </w:pPr>
      <w:rPr>
        <w:rFonts w:hint="default"/>
        <w:b/>
        <w:color w:val="000000"/>
        <w:sz w:val="22"/>
      </w:rPr>
    </w:lvl>
    <w:lvl w:ilvl="3">
      <w:start w:val="1"/>
      <w:numFmt w:val="decimal"/>
      <w:isLgl/>
      <w:lvlText w:val="%1.%2.%3.%4"/>
      <w:lvlJc w:val="left"/>
      <w:pPr>
        <w:ind w:left="2160" w:hanging="720"/>
      </w:pPr>
      <w:rPr>
        <w:rFonts w:hint="default"/>
        <w:b/>
        <w:color w:val="000000"/>
        <w:sz w:val="22"/>
      </w:rPr>
    </w:lvl>
    <w:lvl w:ilvl="4">
      <w:start w:val="1"/>
      <w:numFmt w:val="decimal"/>
      <w:isLgl/>
      <w:lvlText w:val="%1.%2.%3.%4.%5"/>
      <w:lvlJc w:val="left"/>
      <w:pPr>
        <w:ind w:left="2880" w:hanging="1080"/>
      </w:pPr>
      <w:rPr>
        <w:rFonts w:hint="default"/>
        <w:b/>
        <w:color w:val="000000"/>
        <w:sz w:val="22"/>
      </w:rPr>
    </w:lvl>
    <w:lvl w:ilvl="5">
      <w:start w:val="1"/>
      <w:numFmt w:val="decimal"/>
      <w:isLgl/>
      <w:lvlText w:val="%1.%2.%3.%4.%5.%6"/>
      <w:lvlJc w:val="left"/>
      <w:pPr>
        <w:ind w:left="3240" w:hanging="1080"/>
      </w:pPr>
      <w:rPr>
        <w:rFonts w:hint="default"/>
        <w:b/>
        <w:color w:val="000000"/>
        <w:sz w:val="22"/>
      </w:rPr>
    </w:lvl>
    <w:lvl w:ilvl="6">
      <w:start w:val="1"/>
      <w:numFmt w:val="decimal"/>
      <w:isLgl/>
      <w:lvlText w:val="%1.%2.%3.%4.%5.%6.%7"/>
      <w:lvlJc w:val="left"/>
      <w:pPr>
        <w:ind w:left="3960" w:hanging="1440"/>
      </w:pPr>
      <w:rPr>
        <w:rFonts w:hint="default"/>
        <w:b/>
        <w:color w:val="000000"/>
        <w:sz w:val="22"/>
      </w:rPr>
    </w:lvl>
    <w:lvl w:ilvl="7">
      <w:start w:val="1"/>
      <w:numFmt w:val="decimal"/>
      <w:isLgl/>
      <w:lvlText w:val="%1.%2.%3.%4.%5.%6.%7.%8"/>
      <w:lvlJc w:val="left"/>
      <w:pPr>
        <w:ind w:left="4320" w:hanging="1440"/>
      </w:pPr>
      <w:rPr>
        <w:rFonts w:hint="default"/>
        <w:b/>
        <w:color w:val="000000"/>
        <w:sz w:val="22"/>
      </w:rPr>
    </w:lvl>
    <w:lvl w:ilvl="8">
      <w:start w:val="1"/>
      <w:numFmt w:val="decimal"/>
      <w:isLgl/>
      <w:lvlText w:val="%1.%2.%3.%4.%5.%6.%7.%8.%9"/>
      <w:lvlJc w:val="left"/>
      <w:pPr>
        <w:ind w:left="5040" w:hanging="1800"/>
      </w:pPr>
      <w:rPr>
        <w:rFonts w:hint="default"/>
        <w:b/>
        <w:color w:val="000000"/>
        <w:sz w:val="22"/>
      </w:rPr>
    </w:lvl>
  </w:abstractNum>
  <w:abstractNum w:abstractNumId="5" w15:restartNumberingAfterBreak="0">
    <w:nsid w:val="5A3C6D49"/>
    <w:multiLevelType w:val="hybridMultilevel"/>
    <w:tmpl w:val="0DC20804"/>
    <w:lvl w:ilvl="0" w:tplc="DFF443A2">
      <w:numFmt w:val="bullet"/>
      <w:lvlText w:val="-"/>
      <w:lvlJc w:val="left"/>
      <w:pPr>
        <w:ind w:left="315" w:hanging="675"/>
      </w:pPr>
      <w:rPr>
        <w:rFonts w:ascii="Times New Roman" w:eastAsia="Times New Roman" w:hAnsi="Times New Roman" w:cs="Times New Roman" w:hint="default"/>
        <w:color w:val="000000"/>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66662343"/>
    <w:multiLevelType w:val="hybridMultilevel"/>
    <w:tmpl w:val="DA4C301E"/>
    <w:lvl w:ilvl="0" w:tplc="DAE04C00">
      <w:start w:val="1"/>
      <w:numFmt w:val="bullet"/>
      <w:lvlText w:val=""/>
      <w:lvlJc w:val="left"/>
      <w:pPr>
        <w:ind w:left="315" w:hanging="675"/>
      </w:pPr>
      <w:rPr>
        <w:rFonts w:ascii="Symbol" w:hAnsi="Symbol" w:hint="default"/>
        <w:color w:val="000000"/>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15:restartNumberingAfterBreak="0">
    <w:nsid w:val="68C16EBE"/>
    <w:multiLevelType w:val="hybridMultilevel"/>
    <w:tmpl w:val="ED9047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703C50"/>
    <w:multiLevelType w:val="multilevel"/>
    <w:tmpl w:val="B4FA90D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D063023"/>
    <w:multiLevelType w:val="hybridMultilevel"/>
    <w:tmpl w:val="B130F0AA"/>
    <w:lvl w:ilvl="0" w:tplc="DAE04C00">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9"/>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7C"/>
    <w:rsid w:val="000069D4"/>
    <w:rsid w:val="000708E7"/>
    <w:rsid w:val="000A019D"/>
    <w:rsid w:val="000A5309"/>
    <w:rsid w:val="000A743C"/>
    <w:rsid w:val="000C3A98"/>
    <w:rsid w:val="000C5793"/>
    <w:rsid w:val="000E33BF"/>
    <w:rsid w:val="00101A15"/>
    <w:rsid w:val="00106351"/>
    <w:rsid w:val="001124F6"/>
    <w:rsid w:val="00133A97"/>
    <w:rsid w:val="0014635B"/>
    <w:rsid w:val="001511AE"/>
    <w:rsid w:val="00162678"/>
    <w:rsid w:val="001911A7"/>
    <w:rsid w:val="0019229B"/>
    <w:rsid w:val="00194B1F"/>
    <w:rsid w:val="001C7670"/>
    <w:rsid w:val="0025654B"/>
    <w:rsid w:val="00263FA8"/>
    <w:rsid w:val="002700D2"/>
    <w:rsid w:val="0027107C"/>
    <w:rsid w:val="002D2F34"/>
    <w:rsid w:val="00315453"/>
    <w:rsid w:val="00320189"/>
    <w:rsid w:val="003C79BC"/>
    <w:rsid w:val="004131AF"/>
    <w:rsid w:val="00424942"/>
    <w:rsid w:val="00436F22"/>
    <w:rsid w:val="004423C6"/>
    <w:rsid w:val="004B1ECD"/>
    <w:rsid w:val="004C2386"/>
    <w:rsid w:val="004E767A"/>
    <w:rsid w:val="004F31F9"/>
    <w:rsid w:val="005079F8"/>
    <w:rsid w:val="00517FC3"/>
    <w:rsid w:val="00547C46"/>
    <w:rsid w:val="00570A81"/>
    <w:rsid w:val="005F2B6D"/>
    <w:rsid w:val="00607668"/>
    <w:rsid w:val="006348A5"/>
    <w:rsid w:val="00673C68"/>
    <w:rsid w:val="00695D40"/>
    <w:rsid w:val="006A59A0"/>
    <w:rsid w:val="006A7D66"/>
    <w:rsid w:val="006B20BE"/>
    <w:rsid w:val="006C4E2B"/>
    <w:rsid w:val="00702D3A"/>
    <w:rsid w:val="007105C6"/>
    <w:rsid w:val="00742460"/>
    <w:rsid w:val="007572A1"/>
    <w:rsid w:val="007639B9"/>
    <w:rsid w:val="007A435E"/>
    <w:rsid w:val="007D330B"/>
    <w:rsid w:val="007D4631"/>
    <w:rsid w:val="00862A46"/>
    <w:rsid w:val="008D52DB"/>
    <w:rsid w:val="00900C3E"/>
    <w:rsid w:val="0097630A"/>
    <w:rsid w:val="00A045ED"/>
    <w:rsid w:val="00A2028C"/>
    <w:rsid w:val="00A375EC"/>
    <w:rsid w:val="00A4329B"/>
    <w:rsid w:val="00AA5B93"/>
    <w:rsid w:val="00AC4A7A"/>
    <w:rsid w:val="00AC4ECF"/>
    <w:rsid w:val="00B91402"/>
    <w:rsid w:val="00B92D77"/>
    <w:rsid w:val="00BD135D"/>
    <w:rsid w:val="00C00414"/>
    <w:rsid w:val="00C303C3"/>
    <w:rsid w:val="00C91B47"/>
    <w:rsid w:val="00CB1B6F"/>
    <w:rsid w:val="00D22E0D"/>
    <w:rsid w:val="00D80C11"/>
    <w:rsid w:val="00D94EB4"/>
    <w:rsid w:val="00DC1997"/>
    <w:rsid w:val="00DD7899"/>
    <w:rsid w:val="00E83E65"/>
    <w:rsid w:val="00E961A7"/>
    <w:rsid w:val="00EE4C80"/>
    <w:rsid w:val="00F05D56"/>
    <w:rsid w:val="00F149E1"/>
    <w:rsid w:val="00F36ADB"/>
    <w:rsid w:val="00F4635C"/>
    <w:rsid w:val="00F537EC"/>
    <w:rsid w:val="00F5548D"/>
    <w:rsid w:val="00F676BE"/>
    <w:rsid w:val="00F70279"/>
    <w:rsid w:val="00F8009A"/>
    <w:rsid w:val="00F87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D930"/>
  <w14:defaultImageDpi w14:val="32767"/>
  <w15:docId w15:val="{13F45443-959B-F44E-89CA-CD536FBB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Titre princ"/>
    <w:basedOn w:val="Normal"/>
    <w:next w:val="Normal"/>
    <w:link w:val="Titre1Car"/>
    <w:uiPriority w:val="9"/>
    <w:qFormat/>
    <w:rsid w:val="00900C3E"/>
    <w:pPr>
      <w:keepNext/>
      <w:keepLines/>
      <w:spacing w:before="240"/>
      <w:jc w:val="center"/>
      <w:outlineLvl w:val="0"/>
    </w:pPr>
    <w:rPr>
      <w:rFonts w:ascii="Times New Roman" w:eastAsiaTheme="majorEastAsia" w:hAnsi="Times New Roman" w:cstheme="majorBidi"/>
      <w:b/>
      <w:bCs/>
      <w:sz w:val="28"/>
      <w:szCs w:val="28"/>
    </w:rPr>
  </w:style>
  <w:style w:type="paragraph" w:styleId="Titre2">
    <w:name w:val="heading 2"/>
    <w:aliases w:val="Titre 1b"/>
    <w:basedOn w:val="Normal"/>
    <w:next w:val="Normal"/>
    <w:link w:val="Titre2Car"/>
    <w:uiPriority w:val="9"/>
    <w:unhideWhenUsed/>
    <w:qFormat/>
    <w:rsid w:val="001C7670"/>
    <w:pPr>
      <w:keepNext/>
      <w:spacing w:before="240" w:after="240"/>
      <w:outlineLvl w:val="1"/>
    </w:pPr>
    <w:rPr>
      <w:rFonts w:ascii="Times New Roman" w:eastAsia="Times New Roman" w:hAnsi="Times New Roman" w:cs="Times New Roman"/>
      <w:b/>
      <w:bCs/>
      <w:color w:val="000000"/>
      <w:sz w:val="28"/>
      <w:lang w:eastAsia="fr-FR"/>
    </w:rPr>
  </w:style>
  <w:style w:type="paragraph" w:styleId="Titre3">
    <w:name w:val="heading 3"/>
    <w:aliases w:val="Titre 2b"/>
    <w:basedOn w:val="Normal"/>
    <w:next w:val="Normal"/>
    <w:link w:val="Titre3Car"/>
    <w:uiPriority w:val="9"/>
    <w:unhideWhenUsed/>
    <w:qFormat/>
    <w:rsid w:val="00702D3A"/>
    <w:pPr>
      <w:keepNext/>
      <w:keepLines/>
      <w:spacing w:before="200"/>
      <w:outlineLvl w:val="2"/>
    </w:pPr>
    <w:rPr>
      <w:rFonts w:ascii="Times New Roman" w:eastAsiaTheme="majorEastAsia" w:hAnsi="Times New Roman" w:cstheme="majorBidi"/>
      <w:b/>
      <w:bCs/>
      <w:i/>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27107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7107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7107C"/>
    <w:rPr>
      <w:color w:val="0000FF"/>
      <w:u w:val="single"/>
    </w:rPr>
  </w:style>
  <w:style w:type="character" w:styleId="Lienhypertextesuivivisit">
    <w:name w:val="FollowedHyperlink"/>
    <w:basedOn w:val="Policepardfaut"/>
    <w:uiPriority w:val="99"/>
    <w:semiHidden/>
    <w:unhideWhenUsed/>
    <w:rsid w:val="0027107C"/>
    <w:rPr>
      <w:color w:val="800080"/>
      <w:u w:val="single"/>
    </w:rPr>
  </w:style>
  <w:style w:type="paragraph" w:styleId="Pieddepage">
    <w:name w:val="footer"/>
    <w:basedOn w:val="Normal"/>
    <w:link w:val="PieddepageCar"/>
    <w:uiPriority w:val="99"/>
    <w:unhideWhenUsed/>
    <w:rsid w:val="0027107C"/>
    <w:pPr>
      <w:tabs>
        <w:tab w:val="center" w:pos="4536"/>
        <w:tab w:val="right" w:pos="9072"/>
      </w:tabs>
    </w:pPr>
  </w:style>
  <w:style w:type="character" w:customStyle="1" w:styleId="PieddepageCar">
    <w:name w:val="Pied de page Car"/>
    <w:basedOn w:val="Policepardfaut"/>
    <w:link w:val="Pieddepage"/>
    <w:uiPriority w:val="99"/>
    <w:rsid w:val="0027107C"/>
  </w:style>
  <w:style w:type="character" w:styleId="Numrodepage">
    <w:name w:val="page number"/>
    <w:basedOn w:val="Policepardfaut"/>
    <w:uiPriority w:val="99"/>
    <w:semiHidden/>
    <w:unhideWhenUsed/>
    <w:rsid w:val="0027107C"/>
  </w:style>
  <w:style w:type="character" w:styleId="Marquedecommentaire">
    <w:name w:val="annotation reference"/>
    <w:basedOn w:val="Policepardfaut"/>
    <w:uiPriority w:val="99"/>
    <w:semiHidden/>
    <w:unhideWhenUsed/>
    <w:rsid w:val="0019229B"/>
    <w:rPr>
      <w:sz w:val="16"/>
      <w:szCs w:val="16"/>
    </w:rPr>
  </w:style>
  <w:style w:type="paragraph" w:styleId="Commentaire">
    <w:name w:val="annotation text"/>
    <w:basedOn w:val="Normal"/>
    <w:link w:val="CommentaireCar"/>
    <w:uiPriority w:val="99"/>
    <w:semiHidden/>
    <w:unhideWhenUsed/>
    <w:rsid w:val="0019229B"/>
    <w:rPr>
      <w:sz w:val="20"/>
      <w:szCs w:val="20"/>
    </w:rPr>
  </w:style>
  <w:style w:type="character" w:customStyle="1" w:styleId="CommentaireCar">
    <w:name w:val="Commentaire Car"/>
    <w:basedOn w:val="Policepardfaut"/>
    <w:link w:val="Commentaire"/>
    <w:uiPriority w:val="99"/>
    <w:semiHidden/>
    <w:rsid w:val="0019229B"/>
    <w:rPr>
      <w:sz w:val="20"/>
      <w:szCs w:val="20"/>
    </w:rPr>
  </w:style>
  <w:style w:type="paragraph" w:styleId="Objetducommentaire">
    <w:name w:val="annotation subject"/>
    <w:basedOn w:val="Commentaire"/>
    <w:next w:val="Commentaire"/>
    <w:link w:val="ObjetducommentaireCar"/>
    <w:uiPriority w:val="99"/>
    <w:semiHidden/>
    <w:unhideWhenUsed/>
    <w:rsid w:val="0019229B"/>
    <w:rPr>
      <w:b/>
      <w:bCs/>
    </w:rPr>
  </w:style>
  <w:style w:type="character" w:customStyle="1" w:styleId="ObjetducommentaireCar">
    <w:name w:val="Objet du commentaire Car"/>
    <w:basedOn w:val="CommentaireCar"/>
    <w:link w:val="Objetducommentaire"/>
    <w:uiPriority w:val="99"/>
    <w:semiHidden/>
    <w:rsid w:val="0019229B"/>
    <w:rPr>
      <w:b/>
      <w:bCs/>
      <w:sz w:val="20"/>
      <w:szCs w:val="20"/>
    </w:rPr>
  </w:style>
  <w:style w:type="paragraph" w:styleId="Textedebulles">
    <w:name w:val="Balloon Text"/>
    <w:basedOn w:val="Normal"/>
    <w:link w:val="TextedebullesCar"/>
    <w:uiPriority w:val="99"/>
    <w:semiHidden/>
    <w:unhideWhenUsed/>
    <w:rsid w:val="0019229B"/>
    <w:rPr>
      <w:rFonts w:ascii="Tahoma" w:hAnsi="Tahoma" w:cs="Tahoma"/>
      <w:sz w:val="16"/>
      <w:szCs w:val="16"/>
    </w:rPr>
  </w:style>
  <w:style w:type="character" w:customStyle="1" w:styleId="TextedebullesCar">
    <w:name w:val="Texte de bulles Car"/>
    <w:basedOn w:val="Policepardfaut"/>
    <w:link w:val="Textedebulles"/>
    <w:uiPriority w:val="99"/>
    <w:semiHidden/>
    <w:rsid w:val="0019229B"/>
    <w:rPr>
      <w:rFonts w:ascii="Tahoma" w:hAnsi="Tahoma" w:cs="Tahoma"/>
      <w:sz w:val="16"/>
      <w:szCs w:val="16"/>
    </w:rPr>
  </w:style>
  <w:style w:type="paragraph" w:styleId="Paragraphedeliste">
    <w:name w:val="List Paragraph"/>
    <w:basedOn w:val="Normal"/>
    <w:uiPriority w:val="34"/>
    <w:qFormat/>
    <w:rsid w:val="001C7670"/>
    <w:pPr>
      <w:spacing w:before="120"/>
      <w:jc w:val="both"/>
    </w:pPr>
    <w:rPr>
      <w:rFonts w:ascii="Times New Roman" w:eastAsia="Times New Roman" w:hAnsi="Times New Roman" w:cs="Times New Roman"/>
      <w:color w:val="000000"/>
      <w:lang w:eastAsia="fr-FR"/>
    </w:rPr>
  </w:style>
  <w:style w:type="character" w:customStyle="1" w:styleId="Titre1Car">
    <w:name w:val="Titre 1 Car"/>
    <w:aliases w:val="Titre princ Car"/>
    <w:basedOn w:val="Policepardfaut"/>
    <w:link w:val="Titre1"/>
    <w:uiPriority w:val="9"/>
    <w:rsid w:val="00900C3E"/>
    <w:rPr>
      <w:rFonts w:ascii="Times New Roman" w:eastAsiaTheme="majorEastAsia" w:hAnsi="Times New Roman" w:cstheme="majorBidi"/>
      <w:b/>
      <w:bCs/>
      <w:sz w:val="28"/>
      <w:szCs w:val="28"/>
    </w:rPr>
  </w:style>
  <w:style w:type="paragraph" w:styleId="Titre">
    <w:name w:val="Title"/>
    <w:basedOn w:val="Normal"/>
    <w:next w:val="Normal"/>
    <w:link w:val="TitreCar"/>
    <w:uiPriority w:val="10"/>
    <w:qFormat/>
    <w:rsid w:val="00900C3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00C3E"/>
    <w:rPr>
      <w:rFonts w:asciiTheme="majorHAnsi" w:eastAsiaTheme="majorEastAsia" w:hAnsiTheme="majorHAnsi" w:cstheme="majorBidi"/>
      <w:color w:val="323E4F" w:themeColor="text2" w:themeShade="BF"/>
      <w:spacing w:val="5"/>
      <w:kern w:val="28"/>
      <w:sz w:val="52"/>
      <w:szCs w:val="52"/>
    </w:rPr>
  </w:style>
  <w:style w:type="character" w:customStyle="1" w:styleId="Titre2Car">
    <w:name w:val="Titre 2 Car"/>
    <w:aliases w:val="Titre 1b Car"/>
    <w:basedOn w:val="Policepardfaut"/>
    <w:link w:val="Titre2"/>
    <w:uiPriority w:val="9"/>
    <w:rsid w:val="001C7670"/>
    <w:rPr>
      <w:rFonts w:ascii="Times New Roman" w:eastAsia="Times New Roman" w:hAnsi="Times New Roman" w:cs="Times New Roman"/>
      <w:b/>
      <w:bCs/>
      <w:color w:val="000000"/>
      <w:sz w:val="28"/>
      <w:lang w:eastAsia="fr-FR"/>
    </w:rPr>
  </w:style>
  <w:style w:type="character" w:customStyle="1" w:styleId="Titre3Car">
    <w:name w:val="Titre 3 Car"/>
    <w:aliases w:val="Titre 2b Car"/>
    <w:basedOn w:val="Policepardfaut"/>
    <w:link w:val="Titre3"/>
    <w:uiPriority w:val="9"/>
    <w:rsid w:val="00702D3A"/>
    <w:rPr>
      <w:rFonts w:ascii="Times New Roman" w:eastAsiaTheme="majorEastAsia" w:hAnsi="Times New Roman" w:cstheme="majorBidi"/>
      <w:b/>
      <w:bCs/>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19409">
      <w:bodyDiv w:val="1"/>
      <w:marLeft w:val="0"/>
      <w:marRight w:val="0"/>
      <w:marTop w:val="0"/>
      <w:marBottom w:val="0"/>
      <w:divBdr>
        <w:top w:val="none" w:sz="0" w:space="0" w:color="auto"/>
        <w:left w:val="none" w:sz="0" w:space="0" w:color="auto"/>
        <w:bottom w:val="none" w:sz="0" w:space="0" w:color="auto"/>
        <w:right w:val="none" w:sz="0" w:space="0" w:color="auto"/>
      </w:divBdr>
      <w:divsChild>
        <w:div w:id="648169122">
          <w:marLeft w:val="0"/>
          <w:marRight w:val="0"/>
          <w:marTop w:val="0"/>
          <w:marBottom w:val="0"/>
          <w:divBdr>
            <w:top w:val="none" w:sz="0" w:space="0" w:color="auto"/>
            <w:left w:val="none" w:sz="0" w:space="0" w:color="auto"/>
            <w:bottom w:val="none" w:sz="0" w:space="0" w:color="auto"/>
            <w:right w:val="none" w:sz="0" w:space="0" w:color="auto"/>
          </w:divBdr>
        </w:div>
        <w:div w:id="41290671">
          <w:marLeft w:val="0"/>
          <w:marRight w:val="0"/>
          <w:marTop w:val="0"/>
          <w:marBottom w:val="0"/>
          <w:divBdr>
            <w:top w:val="none" w:sz="0" w:space="0" w:color="auto"/>
            <w:left w:val="none" w:sz="0" w:space="0" w:color="auto"/>
            <w:bottom w:val="none" w:sz="0" w:space="0" w:color="auto"/>
            <w:right w:val="none" w:sz="0" w:space="0" w:color="auto"/>
          </w:divBdr>
        </w:div>
        <w:div w:id="2130120710">
          <w:marLeft w:val="0"/>
          <w:marRight w:val="0"/>
          <w:marTop w:val="0"/>
          <w:marBottom w:val="0"/>
          <w:divBdr>
            <w:top w:val="none" w:sz="0" w:space="0" w:color="auto"/>
            <w:left w:val="none" w:sz="0" w:space="0" w:color="auto"/>
            <w:bottom w:val="none" w:sz="0" w:space="0" w:color="auto"/>
            <w:right w:val="none" w:sz="0" w:space="0" w:color="auto"/>
          </w:divBdr>
        </w:div>
        <w:div w:id="2135442356">
          <w:marLeft w:val="0"/>
          <w:marRight w:val="0"/>
          <w:marTop w:val="0"/>
          <w:marBottom w:val="0"/>
          <w:divBdr>
            <w:top w:val="none" w:sz="0" w:space="0" w:color="auto"/>
            <w:left w:val="none" w:sz="0" w:space="0" w:color="auto"/>
            <w:bottom w:val="none" w:sz="0" w:space="0" w:color="auto"/>
            <w:right w:val="none" w:sz="0" w:space="0" w:color="auto"/>
          </w:divBdr>
        </w:div>
        <w:div w:id="163670825">
          <w:marLeft w:val="0"/>
          <w:marRight w:val="0"/>
          <w:marTop w:val="0"/>
          <w:marBottom w:val="0"/>
          <w:divBdr>
            <w:top w:val="none" w:sz="0" w:space="0" w:color="auto"/>
            <w:left w:val="none" w:sz="0" w:space="0" w:color="auto"/>
            <w:bottom w:val="none" w:sz="0" w:space="0" w:color="auto"/>
            <w:right w:val="none" w:sz="0" w:space="0" w:color="auto"/>
          </w:divBdr>
        </w:div>
        <w:div w:id="1491603342">
          <w:marLeft w:val="0"/>
          <w:marRight w:val="0"/>
          <w:marTop w:val="0"/>
          <w:marBottom w:val="0"/>
          <w:divBdr>
            <w:top w:val="none" w:sz="0" w:space="0" w:color="auto"/>
            <w:left w:val="none" w:sz="0" w:space="0" w:color="auto"/>
            <w:bottom w:val="none" w:sz="0" w:space="0" w:color="auto"/>
            <w:right w:val="none" w:sz="0" w:space="0" w:color="auto"/>
          </w:divBdr>
        </w:div>
        <w:div w:id="1326320213">
          <w:marLeft w:val="0"/>
          <w:marRight w:val="0"/>
          <w:marTop w:val="0"/>
          <w:marBottom w:val="0"/>
          <w:divBdr>
            <w:top w:val="none" w:sz="0" w:space="0" w:color="auto"/>
            <w:left w:val="none" w:sz="0" w:space="0" w:color="auto"/>
            <w:bottom w:val="none" w:sz="0" w:space="0" w:color="auto"/>
            <w:right w:val="none" w:sz="0" w:space="0" w:color="auto"/>
          </w:divBdr>
        </w:div>
        <w:div w:id="617956538">
          <w:marLeft w:val="0"/>
          <w:marRight w:val="0"/>
          <w:marTop w:val="0"/>
          <w:marBottom w:val="0"/>
          <w:divBdr>
            <w:top w:val="none" w:sz="0" w:space="0" w:color="auto"/>
            <w:left w:val="none" w:sz="0" w:space="0" w:color="auto"/>
            <w:bottom w:val="none" w:sz="0" w:space="0" w:color="auto"/>
            <w:right w:val="none" w:sz="0" w:space="0" w:color="auto"/>
          </w:divBdr>
        </w:div>
        <w:div w:id="254557086">
          <w:marLeft w:val="0"/>
          <w:marRight w:val="0"/>
          <w:marTop w:val="0"/>
          <w:marBottom w:val="0"/>
          <w:divBdr>
            <w:top w:val="none" w:sz="0" w:space="0" w:color="auto"/>
            <w:left w:val="none" w:sz="0" w:space="0" w:color="auto"/>
            <w:bottom w:val="none" w:sz="0" w:space="0" w:color="auto"/>
            <w:right w:val="none" w:sz="0" w:space="0" w:color="auto"/>
          </w:divBdr>
        </w:div>
        <w:div w:id="1140535753">
          <w:marLeft w:val="0"/>
          <w:marRight w:val="0"/>
          <w:marTop w:val="0"/>
          <w:marBottom w:val="0"/>
          <w:divBdr>
            <w:top w:val="none" w:sz="0" w:space="0" w:color="auto"/>
            <w:left w:val="none" w:sz="0" w:space="0" w:color="auto"/>
            <w:bottom w:val="none" w:sz="0" w:space="0" w:color="auto"/>
            <w:right w:val="none" w:sz="0" w:space="0" w:color="auto"/>
          </w:divBdr>
        </w:div>
        <w:div w:id="22610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act.fr/file/7737/download?token=by2Lpd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6719-52C5-4E86-897B-8EB6A3B5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8935</Words>
  <Characters>49145</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57965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Damien</dc:creator>
  <cp:lastModifiedBy>clara Laborie</cp:lastModifiedBy>
  <cp:revision>2</cp:revision>
  <cp:lastPrinted>2019-04-14T16:28:00Z</cp:lastPrinted>
  <dcterms:created xsi:type="dcterms:W3CDTF">2021-02-19T15:19:00Z</dcterms:created>
  <dcterms:modified xsi:type="dcterms:W3CDTF">2021-02-19T15:19:00Z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http://csl.mendeley.com/styles/424049691/apa-2-ss-doi</vt:lpwstr>
  </property>
  <property fmtid="{D5CDD505-2E9C-101B-9397-08002B2CF9AE}" pid="9" name="Mendeley Recent Style Name 3_1">
    <vt:lpwstr>American Psychological Association 6th edition - Damien Richard</vt:lpwstr>
  </property>
  <property fmtid="{D5CDD505-2E9C-101B-9397-08002B2CF9AE}" pid="10" name="Mendeley Recent Style Id 4_1">
    <vt:lpwstr>http://csl.mendeley.com/styles/424049691/apa-2-virguleQDM</vt:lpwstr>
  </property>
  <property fmtid="{D5CDD505-2E9C-101B-9397-08002B2CF9AE}" pid="11" name="Mendeley Recent Style Name 4_1">
    <vt:lpwstr>American Psychological Association 6th edition - Damien RichardV2</vt:lpwstr>
  </property>
  <property fmtid="{D5CDD505-2E9C-101B-9397-08002B2CF9AE}" pid="12" name="Mendeley Recent Style Id 5_1">
    <vt:lpwstr>http://www.zotero.org/styles/american-sociological-association</vt:lpwstr>
  </property>
  <property fmtid="{D5CDD505-2E9C-101B-9397-08002B2CF9AE}" pid="13" name="Mendeley Recent Style Name 5_1">
    <vt:lpwstr>American Sociological Association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16th edition (author-date)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http://www.zotero.org/styles/revue-francaise-de-sociologie</vt:lpwstr>
  </property>
  <property fmtid="{D5CDD505-2E9C-101B-9397-08002B2CF9AE}" pid="21" name="Mendeley Recent Style Name 9_1">
    <vt:lpwstr>Revue française de sociologie (French)</vt:lpwstr>
  </property>
  <property fmtid="{D5CDD505-2E9C-101B-9397-08002B2CF9AE}" pid="22" name="Mendeley Document_1">
    <vt:lpwstr>True</vt:lpwstr>
  </property>
  <property fmtid="{D5CDD505-2E9C-101B-9397-08002B2CF9AE}" pid="23" name="Mendeley Unique User Id_1">
    <vt:lpwstr>911168d6-cde7-3cff-9d82-6c80a259c055</vt:lpwstr>
  </property>
  <property fmtid="{D5CDD505-2E9C-101B-9397-08002B2CF9AE}" pid="24" name="Mendeley Citation Style_1">
    <vt:lpwstr>http://csl.mendeley.com/styles/424049691/apa-2-virguleQDM</vt:lpwstr>
  </property>
</Properties>
</file>